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C25" w:rsidRDefault="006D7AB6" w:rsidP="00E22C25">
      <w:pPr>
        <w:jc w:val="both"/>
        <w:rPr>
          <w:rFonts w:ascii="Arial" w:hAnsi="Arial" w:cs="Arial"/>
          <w:b/>
          <w:sz w:val="20"/>
          <w:szCs w:val="20"/>
        </w:rPr>
      </w:pPr>
      <w:r>
        <w:rPr>
          <w:noProof/>
          <w:lang w:eastAsia="fr-FR"/>
        </w:rPr>
        <w:drawing>
          <wp:anchor distT="0" distB="0" distL="114300" distR="114300" simplePos="0" relativeHeight="251660288" behindDoc="1" locked="0" layoutInCell="1" allowOverlap="1" wp14:anchorId="713F5037" wp14:editId="24F539BB">
            <wp:simplePos x="0" y="0"/>
            <wp:positionH relativeFrom="column">
              <wp:posOffset>-466742</wp:posOffset>
            </wp:positionH>
            <wp:positionV relativeFrom="paragraph">
              <wp:posOffset>5725795</wp:posOffset>
            </wp:positionV>
            <wp:extent cx="2722880" cy="3419475"/>
            <wp:effectExtent l="0" t="0" r="1270" b="9525"/>
            <wp:wrapThrough wrapText="bothSides">
              <wp:wrapPolygon edited="0">
                <wp:start x="0" y="0"/>
                <wp:lineTo x="0" y="21540"/>
                <wp:lineTo x="21459" y="21540"/>
                <wp:lineTo x="21459"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722880" cy="3419475"/>
                    </a:xfrm>
                    <a:prstGeom prst="rect">
                      <a:avLst/>
                    </a:prstGeom>
                  </pic:spPr>
                </pic:pic>
              </a:graphicData>
            </a:graphic>
            <wp14:sizeRelH relativeFrom="page">
              <wp14:pctWidth>0</wp14:pctWidth>
            </wp14:sizeRelH>
            <wp14:sizeRelV relativeFrom="page">
              <wp14:pctHeight>0</wp14:pctHeight>
            </wp14:sizeRelV>
          </wp:anchor>
        </w:drawing>
      </w:r>
      <w:r w:rsidR="000954EA" w:rsidRPr="00E22C25">
        <w:rPr>
          <w:rFonts w:ascii="Arial" w:hAnsi="Arial" w:cs="Arial"/>
          <w:b/>
          <w:noProof/>
          <w:sz w:val="20"/>
          <w:szCs w:val="20"/>
          <w:lang w:eastAsia="fr-FR"/>
        </w:rPr>
        <mc:AlternateContent>
          <mc:Choice Requires="wps">
            <w:drawing>
              <wp:anchor distT="0" distB="0" distL="114300" distR="114300" simplePos="0" relativeHeight="251653120" behindDoc="0" locked="0" layoutInCell="1" allowOverlap="1" wp14:anchorId="34E6E6B2" wp14:editId="192D1C99">
                <wp:simplePos x="0" y="0"/>
                <wp:positionH relativeFrom="column">
                  <wp:posOffset>2045286</wp:posOffset>
                </wp:positionH>
                <wp:positionV relativeFrom="paragraph">
                  <wp:posOffset>5706036</wp:posOffset>
                </wp:positionV>
                <wp:extent cx="4267200" cy="3434080"/>
                <wp:effectExtent l="0" t="0" r="0" b="0"/>
                <wp:wrapNone/>
                <wp:docPr id="12" name="Rectangle 12"/>
                <wp:cNvGraphicFramePr/>
                <a:graphic xmlns:a="http://schemas.openxmlformats.org/drawingml/2006/main">
                  <a:graphicData uri="http://schemas.microsoft.com/office/word/2010/wordprocessingShape">
                    <wps:wsp>
                      <wps:cNvSpPr/>
                      <wps:spPr>
                        <a:xfrm>
                          <a:off x="0" y="0"/>
                          <a:ext cx="4267200" cy="3434080"/>
                        </a:xfrm>
                        <a:prstGeom prst="rect">
                          <a:avLst/>
                        </a:prstGeom>
                        <a:noFill/>
                        <a:ln w="25400" cap="flat" cmpd="sng" algn="ctr">
                          <a:noFill/>
                          <a:prstDash val="solid"/>
                        </a:ln>
                        <a:effectLst/>
                      </wps:spPr>
                      <wps:txbx>
                        <w:txbxContent>
                          <w:p w:rsidR="00584137" w:rsidRDefault="00584137" w:rsidP="000954EA">
                            <w:pPr>
                              <w:spacing w:after="0"/>
                              <w:jc w:val="center"/>
                              <w:rPr>
                                <w:b/>
                                <w:sz w:val="48"/>
                                <w:szCs w:val="48"/>
                              </w:rPr>
                            </w:pPr>
                            <w:r w:rsidRPr="00C92567">
                              <w:rPr>
                                <w:b/>
                                <w:sz w:val="48"/>
                                <w:szCs w:val="48"/>
                              </w:rPr>
                              <w:t xml:space="preserve">BANQUE DE </w:t>
                            </w:r>
                            <w:r w:rsidR="000954EA">
                              <w:rPr>
                                <w:b/>
                                <w:sz w:val="48"/>
                                <w:szCs w:val="48"/>
                              </w:rPr>
                              <w:t>FRANCE</w:t>
                            </w:r>
                          </w:p>
                          <w:p w:rsidR="000954EA" w:rsidRPr="00C92567" w:rsidRDefault="000954EA" w:rsidP="000954EA">
                            <w:pPr>
                              <w:spacing w:after="720"/>
                              <w:jc w:val="center"/>
                              <w:rPr>
                                <w:b/>
                                <w:sz w:val="48"/>
                                <w:szCs w:val="48"/>
                              </w:rPr>
                            </w:pPr>
                            <w:r>
                              <w:rPr>
                                <w:b/>
                                <w:sz w:val="48"/>
                                <w:szCs w:val="48"/>
                              </w:rPr>
                              <w:t xml:space="preserve">B. </w:t>
                            </w:r>
                            <w:proofErr w:type="spellStart"/>
                            <w:r>
                              <w:rPr>
                                <w:b/>
                                <w:sz w:val="48"/>
                                <w:szCs w:val="48"/>
                              </w:rPr>
                              <w:t>Cherlonneix</w:t>
                            </w:r>
                            <w:proofErr w:type="spellEnd"/>
                            <w:r>
                              <w:rPr>
                                <w:b/>
                                <w:sz w:val="48"/>
                                <w:szCs w:val="48"/>
                              </w:rPr>
                              <w:t>, P. Jaillet</w:t>
                            </w:r>
                          </w:p>
                          <w:p w:rsidR="00584137" w:rsidRPr="00C92567" w:rsidRDefault="00584137" w:rsidP="000954EA">
                            <w:pPr>
                              <w:spacing w:after="0"/>
                              <w:jc w:val="center"/>
                              <w:rPr>
                                <w:b/>
                                <w:sz w:val="48"/>
                                <w:szCs w:val="48"/>
                              </w:rPr>
                            </w:pPr>
                            <w:r w:rsidRPr="00C92567">
                              <w:rPr>
                                <w:b/>
                                <w:sz w:val="48"/>
                                <w:szCs w:val="48"/>
                              </w:rPr>
                              <w:t>ACADÉMIE D’ORLÉANS-TOURS</w:t>
                            </w:r>
                          </w:p>
                          <w:p w:rsidR="00584137" w:rsidRDefault="00584137" w:rsidP="000954EA">
                            <w:pPr>
                              <w:spacing w:after="0"/>
                              <w:jc w:val="center"/>
                              <w:rPr>
                                <w:b/>
                                <w:sz w:val="48"/>
                                <w:szCs w:val="48"/>
                              </w:rPr>
                            </w:pPr>
                            <w:r w:rsidRPr="00C92567">
                              <w:rPr>
                                <w:b/>
                                <w:sz w:val="48"/>
                                <w:szCs w:val="48"/>
                              </w:rPr>
                              <w:t>DAFOP</w:t>
                            </w:r>
                          </w:p>
                          <w:p w:rsidR="000954EA" w:rsidRPr="00C92567" w:rsidRDefault="000954EA" w:rsidP="00B57DA6">
                            <w:pPr>
                              <w:jc w:val="center"/>
                              <w:rPr>
                                <w:b/>
                                <w:sz w:val="48"/>
                                <w:szCs w:val="48"/>
                              </w:rPr>
                            </w:pPr>
                            <w:r>
                              <w:rPr>
                                <w:b/>
                                <w:sz w:val="48"/>
                                <w:szCs w:val="48"/>
                              </w:rPr>
                              <w:t>Équipe des formateurs académique</w:t>
                            </w:r>
                            <w:r w:rsidR="00D01068">
                              <w:rPr>
                                <w:b/>
                                <w:sz w:val="48"/>
                                <w:szCs w:val="4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6E6B2" id="Rectangle 12" o:spid="_x0000_s1026" style="position:absolute;left:0;text-align:left;margin-left:161.05pt;margin-top:449.3pt;width:336pt;height:27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" filled="f" stroked="f" strokeweight="2pt">
                <v:textbox>
                  <w:txbxContent>
                    <w:p w:rsidR="00584137" w:rsidRDefault="00584137" w:rsidP="000954EA">
                      <w:pPr>
                        <w:spacing w:after="0"/>
                        <w:jc w:val="center"/>
                        <w:rPr>
                          <w:b/>
                          <w:sz w:val="48"/>
                          <w:szCs w:val="48"/>
                        </w:rPr>
                      </w:pPr>
                      <w:r w:rsidRPr="00C92567">
                        <w:rPr>
                          <w:b/>
                          <w:sz w:val="48"/>
                          <w:szCs w:val="48"/>
                        </w:rPr>
                        <w:t xml:space="preserve">BANQUE DE </w:t>
                      </w:r>
                      <w:r w:rsidR="000954EA">
                        <w:rPr>
                          <w:b/>
                          <w:sz w:val="48"/>
                          <w:szCs w:val="48"/>
                        </w:rPr>
                        <w:t>FRANCE</w:t>
                      </w:r>
                    </w:p>
                    <w:p w:rsidR="000954EA" w:rsidRPr="00C92567" w:rsidRDefault="000954EA" w:rsidP="000954EA">
                      <w:pPr>
                        <w:spacing w:after="720"/>
                        <w:jc w:val="center"/>
                        <w:rPr>
                          <w:b/>
                          <w:sz w:val="48"/>
                          <w:szCs w:val="48"/>
                        </w:rPr>
                      </w:pPr>
                      <w:r>
                        <w:rPr>
                          <w:b/>
                          <w:sz w:val="48"/>
                          <w:szCs w:val="48"/>
                        </w:rPr>
                        <w:t xml:space="preserve">B. </w:t>
                      </w:r>
                      <w:proofErr w:type="spellStart"/>
                      <w:r>
                        <w:rPr>
                          <w:b/>
                          <w:sz w:val="48"/>
                          <w:szCs w:val="48"/>
                        </w:rPr>
                        <w:t>Cherlonneix</w:t>
                      </w:r>
                      <w:proofErr w:type="spellEnd"/>
                      <w:r>
                        <w:rPr>
                          <w:b/>
                          <w:sz w:val="48"/>
                          <w:szCs w:val="48"/>
                        </w:rPr>
                        <w:t>, P. Jaillet</w:t>
                      </w:r>
                    </w:p>
                    <w:p w:rsidR="00584137" w:rsidRPr="00C92567" w:rsidRDefault="00584137" w:rsidP="000954EA">
                      <w:pPr>
                        <w:spacing w:after="0"/>
                        <w:jc w:val="center"/>
                        <w:rPr>
                          <w:b/>
                          <w:sz w:val="48"/>
                          <w:szCs w:val="48"/>
                        </w:rPr>
                      </w:pPr>
                      <w:r w:rsidRPr="00C92567">
                        <w:rPr>
                          <w:b/>
                          <w:sz w:val="48"/>
                          <w:szCs w:val="48"/>
                        </w:rPr>
                        <w:t>ACADÉMIE D’ORLÉANS-TOURS</w:t>
                      </w:r>
                    </w:p>
                    <w:p w:rsidR="00584137" w:rsidRDefault="00584137" w:rsidP="000954EA">
                      <w:pPr>
                        <w:spacing w:after="0"/>
                        <w:jc w:val="center"/>
                        <w:rPr>
                          <w:b/>
                          <w:sz w:val="48"/>
                          <w:szCs w:val="48"/>
                        </w:rPr>
                      </w:pPr>
                      <w:r w:rsidRPr="00C92567">
                        <w:rPr>
                          <w:b/>
                          <w:sz w:val="48"/>
                          <w:szCs w:val="48"/>
                        </w:rPr>
                        <w:t>DAFOP</w:t>
                      </w:r>
                    </w:p>
                    <w:p w:rsidR="000954EA" w:rsidRPr="00C92567" w:rsidRDefault="000954EA" w:rsidP="00B57DA6">
                      <w:pPr>
                        <w:jc w:val="center"/>
                        <w:rPr>
                          <w:b/>
                          <w:sz w:val="48"/>
                          <w:szCs w:val="48"/>
                        </w:rPr>
                      </w:pPr>
                      <w:r>
                        <w:rPr>
                          <w:b/>
                          <w:sz w:val="48"/>
                          <w:szCs w:val="48"/>
                        </w:rPr>
                        <w:t>Équipe des formateurs académique</w:t>
                      </w:r>
                      <w:r w:rsidR="00D01068">
                        <w:rPr>
                          <w:b/>
                          <w:sz w:val="48"/>
                          <w:szCs w:val="48"/>
                        </w:rPr>
                        <w:t>s</w:t>
                      </w:r>
                    </w:p>
                  </w:txbxContent>
                </v:textbox>
              </v:rect>
            </w:pict>
          </mc:Fallback>
        </mc:AlternateContent>
      </w:r>
      <w:r w:rsidR="00E5584E" w:rsidRPr="00E22C25">
        <w:rPr>
          <w:rFonts w:ascii="Arial" w:hAnsi="Arial" w:cs="Arial"/>
          <w:b/>
          <w:noProof/>
          <w:sz w:val="20"/>
          <w:szCs w:val="20"/>
          <w:lang w:eastAsia="fr-FR"/>
        </w:rPr>
        <mc:AlternateContent>
          <mc:Choice Requires="wps">
            <w:drawing>
              <wp:anchor distT="0" distB="0" distL="114300" distR="114300" simplePos="0" relativeHeight="251655168" behindDoc="0" locked="0" layoutInCell="1" allowOverlap="1" wp14:anchorId="5928809C" wp14:editId="01DAB4BF">
                <wp:simplePos x="0" y="0"/>
                <wp:positionH relativeFrom="margin">
                  <wp:align>center</wp:align>
                </wp:positionH>
                <wp:positionV relativeFrom="paragraph">
                  <wp:posOffset>1290955</wp:posOffset>
                </wp:positionV>
                <wp:extent cx="6886575" cy="41338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886575" cy="41338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0EEBD" id="Rectangle 5" o:spid="_x0000_s1026" style="position:absolute;margin-left:0;margin-top:101.65pt;width:542.25pt;height:325.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" fillcolor="#dbe5f1 [660]" strokecolor="#243f60 [1604]" strokeweight="2pt">
                <w10:wrap anchorx="margin"/>
              </v:rect>
            </w:pict>
          </mc:Fallback>
        </mc:AlternateContent>
      </w:r>
      <w:r w:rsidR="00E5584E" w:rsidRPr="00E22C25">
        <w:rPr>
          <w:rFonts w:ascii="Arial" w:hAnsi="Arial" w:cs="Arial"/>
          <w:b/>
          <w:noProof/>
          <w:sz w:val="20"/>
          <w:szCs w:val="20"/>
          <w:lang w:eastAsia="fr-FR"/>
        </w:rPr>
        <mc:AlternateContent>
          <mc:Choice Requires="wps">
            <w:drawing>
              <wp:anchor distT="0" distB="0" distL="114300" distR="114300" simplePos="0" relativeHeight="251659264" behindDoc="0" locked="0" layoutInCell="1" allowOverlap="1" wp14:anchorId="3E54AF38" wp14:editId="51D2DB26">
                <wp:simplePos x="0" y="0"/>
                <wp:positionH relativeFrom="margin">
                  <wp:align>center</wp:align>
                </wp:positionH>
                <wp:positionV relativeFrom="paragraph">
                  <wp:posOffset>2594610</wp:posOffset>
                </wp:positionV>
                <wp:extent cx="5466080" cy="2458720"/>
                <wp:effectExtent l="0" t="0" r="1270" b="0"/>
                <wp:wrapNone/>
                <wp:docPr id="11" name="Rectangle 11"/>
                <wp:cNvGraphicFramePr/>
                <a:graphic xmlns:a="http://schemas.openxmlformats.org/drawingml/2006/main">
                  <a:graphicData uri="http://schemas.microsoft.com/office/word/2010/wordprocessingShape">
                    <wps:wsp>
                      <wps:cNvSpPr/>
                      <wps:spPr>
                        <a:xfrm>
                          <a:off x="0" y="0"/>
                          <a:ext cx="5466080" cy="2458720"/>
                        </a:xfrm>
                        <a:prstGeom prst="rect">
                          <a:avLst/>
                        </a:prstGeom>
                        <a:solidFill>
                          <a:srgbClr val="4F81BD">
                            <a:lumMod val="20000"/>
                            <a:lumOff val="80000"/>
                          </a:srgbClr>
                        </a:solidFill>
                        <a:ln w="25400" cap="flat" cmpd="sng" algn="ctr">
                          <a:noFill/>
                          <a:prstDash val="solid"/>
                        </a:ln>
                        <a:effectLst/>
                      </wps:spPr>
                      <wps:txbx>
                        <w:txbxContent>
                          <w:p w:rsidR="00584137" w:rsidRPr="00B57DA6" w:rsidRDefault="00584137" w:rsidP="00E5584E">
                            <w:pPr>
                              <w:jc w:val="center"/>
                              <w:rPr>
                                <w:b/>
                                <w:sz w:val="48"/>
                                <w:szCs w:val="48"/>
                              </w:rPr>
                            </w:pPr>
                            <w:bookmarkStart w:id="0" w:name="_GoBack"/>
                            <w:r>
                              <w:rPr>
                                <w:b/>
                                <w:sz w:val="48"/>
                                <w:szCs w:val="48"/>
                              </w:rPr>
                              <w:t>L’évolution de la</w:t>
                            </w:r>
                            <w:r w:rsidRPr="00B57DA6">
                              <w:rPr>
                                <w:b/>
                                <w:sz w:val="48"/>
                                <w:szCs w:val="48"/>
                              </w:rPr>
                              <w:t xml:space="preserve"> politique monétaire e</w:t>
                            </w:r>
                            <w:r>
                              <w:rPr>
                                <w:b/>
                                <w:sz w:val="48"/>
                                <w:szCs w:val="48"/>
                              </w:rPr>
                              <w:t>t de la réglementation bancaire</w:t>
                            </w:r>
                            <w:bookmarkEnd w:id="0"/>
                          </w:p>
                          <w:p w:rsidR="00584137" w:rsidRDefault="00584137" w:rsidP="00E5584E">
                            <w:pPr>
                              <w:jc w:val="center"/>
                              <w:rPr>
                                <w:sz w:val="48"/>
                                <w:szCs w:val="48"/>
                              </w:rPr>
                            </w:pPr>
                            <w:r>
                              <w:rPr>
                                <w:sz w:val="48"/>
                                <w:szCs w:val="48"/>
                              </w:rPr>
                              <w:t>-</w:t>
                            </w:r>
                          </w:p>
                          <w:p w:rsidR="00584137" w:rsidRDefault="00584137" w:rsidP="00E5584E">
                            <w:pPr>
                              <w:jc w:val="center"/>
                              <w:rPr>
                                <w:sz w:val="48"/>
                                <w:szCs w:val="48"/>
                              </w:rPr>
                            </w:pPr>
                            <w:proofErr w:type="spellStart"/>
                            <w:r>
                              <w:rPr>
                                <w:sz w:val="48"/>
                                <w:szCs w:val="48"/>
                              </w:rPr>
                              <w:t>Canopé</w:t>
                            </w:r>
                            <w:proofErr w:type="spellEnd"/>
                            <w:r>
                              <w:rPr>
                                <w:sz w:val="48"/>
                                <w:szCs w:val="48"/>
                              </w:rPr>
                              <w:t xml:space="preserve"> Orléans</w:t>
                            </w:r>
                          </w:p>
                          <w:p w:rsidR="00584137" w:rsidRPr="00B57DA6" w:rsidRDefault="00584137" w:rsidP="00E5584E">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4AF38" id="Rectangle 11" o:spid="_x0000_s1027" style="position:absolute;left:0;text-align:left;margin-left:0;margin-top:204.3pt;width:430.4pt;height:193.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" fillcolor="#dce6f2" stroked="f" strokeweight="2pt">
                <v:textbox>
                  <w:txbxContent>
                    <w:p w:rsidR="00584137" w:rsidRPr="00B57DA6" w:rsidRDefault="00584137" w:rsidP="00E5584E">
                      <w:pPr>
                        <w:jc w:val="center"/>
                        <w:rPr>
                          <w:b/>
                          <w:sz w:val="48"/>
                          <w:szCs w:val="48"/>
                        </w:rPr>
                      </w:pPr>
                      <w:bookmarkStart w:id="1" w:name="_GoBack"/>
                      <w:r>
                        <w:rPr>
                          <w:b/>
                          <w:sz w:val="48"/>
                          <w:szCs w:val="48"/>
                        </w:rPr>
                        <w:t>L’évolution de la</w:t>
                      </w:r>
                      <w:r w:rsidRPr="00B57DA6">
                        <w:rPr>
                          <w:b/>
                          <w:sz w:val="48"/>
                          <w:szCs w:val="48"/>
                        </w:rPr>
                        <w:t xml:space="preserve"> politique monétaire e</w:t>
                      </w:r>
                      <w:r>
                        <w:rPr>
                          <w:b/>
                          <w:sz w:val="48"/>
                          <w:szCs w:val="48"/>
                        </w:rPr>
                        <w:t>t de la réglementation bancaire</w:t>
                      </w:r>
                      <w:bookmarkEnd w:id="1"/>
                    </w:p>
                    <w:p w:rsidR="00584137" w:rsidRDefault="00584137" w:rsidP="00E5584E">
                      <w:pPr>
                        <w:jc w:val="center"/>
                        <w:rPr>
                          <w:sz w:val="48"/>
                          <w:szCs w:val="48"/>
                        </w:rPr>
                      </w:pPr>
                      <w:r>
                        <w:rPr>
                          <w:sz w:val="48"/>
                          <w:szCs w:val="48"/>
                        </w:rPr>
                        <w:t>-</w:t>
                      </w:r>
                    </w:p>
                    <w:p w:rsidR="00584137" w:rsidRDefault="00584137" w:rsidP="00E5584E">
                      <w:pPr>
                        <w:jc w:val="center"/>
                        <w:rPr>
                          <w:sz w:val="48"/>
                          <w:szCs w:val="48"/>
                        </w:rPr>
                      </w:pPr>
                      <w:proofErr w:type="spellStart"/>
                      <w:r>
                        <w:rPr>
                          <w:sz w:val="48"/>
                          <w:szCs w:val="48"/>
                        </w:rPr>
                        <w:t>Canopé</w:t>
                      </w:r>
                      <w:proofErr w:type="spellEnd"/>
                      <w:r>
                        <w:rPr>
                          <w:sz w:val="48"/>
                          <w:szCs w:val="48"/>
                        </w:rPr>
                        <w:t xml:space="preserve"> Orléans</w:t>
                      </w:r>
                    </w:p>
                    <w:p w:rsidR="00584137" w:rsidRPr="00B57DA6" w:rsidRDefault="00584137" w:rsidP="00E5584E">
                      <w:pPr>
                        <w:jc w:val="center"/>
                        <w:rPr>
                          <w:sz w:val="48"/>
                          <w:szCs w:val="48"/>
                        </w:rPr>
                      </w:pPr>
                    </w:p>
                  </w:txbxContent>
                </v:textbox>
                <w10:wrap anchorx="margin"/>
              </v:rect>
            </w:pict>
          </mc:Fallback>
        </mc:AlternateContent>
      </w:r>
      <w:r w:rsidR="009C51C0" w:rsidRPr="00E22C25">
        <w:rPr>
          <w:rFonts w:ascii="Arial" w:hAnsi="Arial" w:cs="Arial"/>
          <w:b/>
          <w:noProof/>
          <w:sz w:val="20"/>
          <w:szCs w:val="20"/>
          <w:lang w:eastAsia="fr-FR"/>
        </w:rPr>
        <mc:AlternateContent>
          <mc:Choice Requires="wps">
            <w:drawing>
              <wp:anchor distT="0" distB="0" distL="114300" distR="114300" simplePos="0" relativeHeight="251658240" behindDoc="0" locked="0" layoutInCell="1" allowOverlap="1" wp14:anchorId="212E2F8D" wp14:editId="03E2F989">
                <wp:simplePos x="0" y="0"/>
                <wp:positionH relativeFrom="margin">
                  <wp:align>center</wp:align>
                </wp:positionH>
                <wp:positionV relativeFrom="paragraph">
                  <wp:posOffset>1452880</wp:posOffset>
                </wp:positionV>
                <wp:extent cx="6210300" cy="1076325"/>
                <wp:effectExtent l="0" t="0" r="0" b="9525"/>
                <wp:wrapNone/>
                <wp:docPr id="10" name="Rectangle 10"/>
                <wp:cNvGraphicFramePr/>
                <a:graphic xmlns:a="http://schemas.openxmlformats.org/drawingml/2006/main">
                  <a:graphicData uri="http://schemas.microsoft.com/office/word/2010/wordprocessingShape">
                    <wps:wsp>
                      <wps:cNvSpPr/>
                      <wps:spPr>
                        <a:xfrm>
                          <a:off x="0" y="0"/>
                          <a:ext cx="6210300" cy="1076325"/>
                        </a:xfrm>
                        <a:prstGeom prst="rect">
                          <a:avLst/>
                        </a:prstGeom>
                        <a:solidFill>
                          <a:srgbClr val="4F81BD">
                            <a:lumMod val="20000"/>
                            <a:lumOff val="80000"/>
                          </a:srgbClr>
                        </a:solidFill>
                        <a:ln w="25400" cap="flat" cmpd="sng" algn="ctr">
                          <a:noFill/>
                          <a:prstDash val="solid"/>
                        </a:ln>
                        <a:effectLst/>
                      </wps:spPr>
                      <wps:txbx>
                        <w:txbxContent>
                          <w:p w:rsidR="00584137" w:rsidRPr="00B57DA6" w:rsidRDefault="00584137" w:rsidP="00B57DA6">
                            <w:pPr>
                              <w:jc w:val="center"/>
                              <w:rPr>
                                <w:sz w:val="48"/>
                                <w:szCs w:val="48"/>
                              </w:rPr>
                            </w:pPr>
                            <w:r>
                              <w:rPr>
                                <w:sz w:val="48"/>
                                <w:szCs w:val="48"/>
                              </w:rPr>
                              <w:t>Mercredi 19 o</w:t>
                            </w:r>
                            <w:r w:rsidRPr="00B57DA6">
                              <w:rPr>
                                <w:sz w:val="48"/>
                                <w:szCs w:val="48"/>
                              </w:rPr>
                              <w:t>ctobre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E2F8D" id="Rectangle 10" o:spid="_x0000_s1028" style="position:absolute;left:0;text-align:left;margin-left:0;margin-top:114.4pt;width:489pt;height:84.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" fillcolor="#dce6f2" stroked="f" strokeweight="2pt">
                <v:textbox>
                  <w:txbxContent>
                    <w:p w:rsidR="00584137" w:rsidRPr="00B57DA6" w:rsidRDefault="00584137" w:rsidP="00B57DA6">
                      <w:pPr>
                        <w:jc w:val="center"/>
                        <w:rPr>
                          <w:sz w:val="48"/>
                          <w:szCs w:val="48"/>
                        </w:rPr>
                      </w:pPr>
                      <w:r>
                        <w:rPr>
                          <w:sz w:val="48"/>
                          <w:szCs w:val="48"/>
                        </w:rPr>
                        <w:t>Mercredi 19 o</w:t>
                      </w:r>
                      <w:r w:rsidRPr="00B57DA6">
                        <w:rPr>
                          <w:sz w:val="48"/>
                          <w:szCs w:val="48"/>
                        </w:rPr>
                        <w:t>ctobre 2016</w:t>
                      </w:r>
                    </w:p>
                  </w:txbxContent>
                </v:textbox>
                <w10:wrap anchorx="margin"/>
              </v:rect>
            </w:pict>
          </mc:Fallback>
        </mc:AlternateContent>
      </w:r>
      <w:r w:rsidR="002C621D" w:rsidRPr="00E22C25">
        <w:rPr>
          <w:rFonts w:ascii="Arial" w:hAnsi="Arial" w:cs="Arial"/>
          <w:b/>
          <w:noProof/>
          <w:sz w:val="20"/>
          <w:szCs w:val="20"/>
          <w:lang w:eastAsia="fr-FR"/>
        </w:rPr>
        <w:drawing>
          <wp:anchor distT="0" distB="0" distL="114300" distR="114300" simplePos="0" relativeHeight="251657216" behindDoc="0" locked="0" layoutInCell="1" allowOverlap="1" wp14:anchorId="358BB0EC" wp14:editId="4B0F1165">
            <wp:simplePos x="0" y="0"/>
            <wp:positionH relativeFrom="column">
              <wp:posOffset>4220845</wp:posOffset>
            </wp:positionH>
            <wp:positionV relativeFrom="paragraph">
              <wp:posOffset>-412115</wp:posOffset>
            </wp:positionV>
            <wp:extent cx="1970114" cy="975360"/>
            <wp:effectExtent l="0" t="0" r="0" b="0"/>
            <wp:wrapNone/>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0114" cy="9753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C621D" w:rsidRPr="00E22C25">
        <w:rPr>
          <w:rFonts w:ascii="Arial" w:hAnsi="Arial" w:cs="Arial"/>
          <w:noProof/>
          <w:sz w:val="20"/>
          <w:szCs w:val="20"/>
          <w:lang w:eastAsia="fr-FR"/>
        </w:rPr>
        <w:drawing>
          <wp:anchor distT="0" distB="0" distL="114300" distR="114300" simplePos="0" relativeHeight="251654144" behindDoc="0" locked="0" layoutInCell="1" allowOverlap="1" wp14:anchorId="1C1B2A5B" wp14:editId="5934B6A7">
            <wp:simplePos x="0" y="0"/>
            <wp:positionH relativeFrom="column">
              <wp:posOffset>55245</wp:posOffset>
            </wp:positionH>
            <wp:positionV relativeFrom="paragraph">
              <wp:posOffset>177165</wp:posOffset>
            </wp:positionV>
            <wp:extent cx="1422400" cy="861026"/>
            <wp:effectExtent l="0" t="0" r="6350" b="0"/>
            <wp:wrapNone/>
            <wp:docPr id="10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9"/>
                    <pic:cNvPicPr>
                      <a:picLocks noChangeAspect="1" noChangeArrowheads="1"/>
                    </pic:cNvPicPr>
                  </pic:nvPicPr>
                  <pic:blipFill>
                    <a:blip r:embed="rId10">
                      <a:extLst>
                        <a:ext uri="{28A0092B-C50C-407E-A947-70E740481C1C}">
                          <a14:useLocalDpi xmlns:a14="http://schemas.microsoft.com/office/drawing/2010/main" val="0"/>
                        </a:ext>
                      </a:extLst>
                    </a:blip>
                    <a:srcRect b="18651"/>
                    <a:stretch>
                      <a:fillRect/>
                    </a:stretch>
                  </pic:blipFill>
                  <pic:spPr bwMode="auto">
                    <a:xfrm>
                      <a:off x="0" y="0"/>
                      <a:ext cx="1412606" cy="855097"/>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C621D" w:rsidRPr="00E22C25">
        <w:rPr>
          <w:rFonts w:ascii="Arial" w:hAnsi="Arial" w:cs="Arial"/>
          <w:noProof/>
          <w:sz w:val="20"/>
          <w:szCs w:val="20"/>
          <w:lang w:eastAsia="fr-FR"/>
        </w:rPr>
        <w:drawing>
          <wp:anchor distT="0" distB="0" distL="114300" distR="114300" simplePos="0" relativeHeight="251656192" behindDoc="0" locked="0" layoutInCell="1" allowOverlap="1" wp14:anchorId="56501D74" wp14:editId="5A86BD7C">
            <wp:simplePos x="0" y="0"/>
            <wp:positionH relativeFrom="column">
              <wp:posOffset>-615316</wp:posOffset>
            </wp:positionH>
            <wp:positionV relativeFrom="paragraph">
              <wp:posOffset>-452755</wp:posOffset>
            </wp:positionV>
            <wp:extent cx="1230649" cy="873760"/>
            <wp:effectExtent l="0" t="0" r="7620" b="2540"/>
            <wp:wrapNone/>
            <wp:docPr id="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7376" cy="871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21D" w:rsidRPr="00E22C25">
        <w:rPr>
          <w:rFonts w:ascii="Arial" w:hAnsi="Arial" w:cs="Arial"/>
          <w:b/>
          <w:sz w:val="20"/>
          <w:szCs w:val="20"/>
        </w:rPr>
        <w:br w:type="page"/>
      </w:r>
    </w:p>
    <w:p w:rsidR="00AE565E" w:rsidRPr="00E22C25" w:rsidRDefault="00AE565E" w:rsidP="00AE565E">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Pr>
          <w:rFonts w:ascii="Arial" w:hAnsi="Arial" w:cs="Arial"/>
          <w:b/>
          <w:sz w:val="20"/>
          <w:szCs w:val="20"/>
        </w:rPr>
        <w:lastRenderedPageBreak/>
        <w:t>SOMMAIRE</w:t>
      </w:r>
    </w:p>
    <w:p w:rsidR="00AE565E" w:rsidRDefault="00AE565E">
      <w:pPr>
        <w:rPr>
          <w:rFonts w:ascii="Arial" w:hAnsi="Arial" w:cs="Arial"/>
          <w:b/>
          <w:sz w:val="20"/>
          <w:szCs w:val="20"/>
        </w:rPr>
      </w:pPr>
    </w:p>
    <w:p w:rsidR="00CB4656" w:rsidRDefault="00CB4656">
      <w:pPr>
        <w:rPr>
          <w:rFonts w:ascii="Arial" w:hAnsi="Arial" w:cs="Arial"/>
          <w:b/>
          <w:sz w:val="20"/>
          <w:szCs w:val="20"/>
        </w:rPr>
      </w:pPr>
    </w:p>
    <w:p w:rsidR="00AE565E" w:rsidRDefault="00AE565E" w:rsidP="001655A8">
      <w:pPr>
        <w:spacing w:after="600"/>
        <w:rPr>
          <w:rFonts w:ascii="Arial" w:hAnsi="Arial" w:cs="Arial"/>
          <w:b/>
          <w:sz w:val="20"/>
          <w:szCs w:val="20"/>
        </w:rPr>
      </w:pPr>
      <w:r>
        <w:rPr>
          <w:rFonts w:ascii="Arial" w:hAnsi="Arial" w:cs="Arial"/>
          <w:b/>
          <w:sz w:val="20"/>
          <w:szCs w:val="20"/>
        </w:rPr>
        <w:t xml:space="preserve">1. Les programmes qui traitent de notre sujet </w:t>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Pr>
          <w:rFonts w:ascii="Arial" w:hAnsi="Arial" w:cs="Arial"/>
          <w:b/>
          <w:sz w:val="20"/>
          <w:szCs w:val="20"/>
        </w:rPr>
        <w:t xml:space="preserve"> page 3</w:t>
      </w:r>
    </w:p>
    <w:p w:rsidR="00AE565E" w:rsidRDefault="00AE565E">
      <w:pPr>
        <w:rPr>
          <w:rFonts w:ascii="Arial" w:hAnsi="Arial" w:cs="Arial"/>
          <w:b/>
          <w:sz w:val="20"/>
          <w:szCs w:val="20"/>
        </w:rPr>
      </w:pPr>
      <w:r>
        <w:rPr>
          <w:rFonts w:ascii="Arial" w:hAnsi="Arial" w:cs="Arial"/>
          <w:b/>
          <w:sz w:val="20"/>
          <w:szCs w:val="20"/>
        </w:rPr>
        <w:t>2. Des ressources documentaires</w:t>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Pr>
          <w:rFonts w:ascii="Arial" w:hAnsi="Arial" w:cs="Arial"/>
          <w:b/>
          <w:sz w:val="20"/>
          <w:szCs w:val="20"/>
        </w:rPr>
        <w:t xml:space="preserve"> page 4</w:t>
      </w:r>
    </w:p>
    <w:p w:rsidR="00AE565E" w:rsidRDefault="00AE565E" w:rsidP="00AE565E">
      <w:pPr>
        <w:ind w:left="426"/>
        <w:rPr>
          <w:rFonts w:ascii="Arial" w:hAnsi="Arial" w:cs="Arial"/>
          <w:b/>
          <w:sz w:val="20"/>
          <w:szCs w:val="20"/>
        </w:rPr>
      </w:pPr>
      <w:r>
        <w:rPr>
          <w:rFonts w:ascii="Arial" w:hAnsi="Arial" w:cs="Arial"/>
          <w:b/>
          <w:sz w:val="20"/>
          <w:szCs w:val="20"/>
        </w:rPr>
        <w:t>2.1 Les évolution</w:t>
      </w:r>
      <w:r w:rsidR="001655A8">
        <w:rPr>
          <w:rFonts w:ascii="Arial" w:hAnsi="Arial" w:cs="Arial"/>
          <w:b/>
          <w:sz w:val="20"/>
          <w:szCs w:val="20"/>
        </w:rPr>
        <w:t>s</w:t>
      </w:r>
      <w:r>
        <w:rPr>
          <w:rFonts w:ascii="Arial" w:hAnsi="Arial" w:cs="Arial"/>
          <w:b/>
          <w:sz w:val="20"/>
          <w:szCs w:val="20"/>
        </w:rPr>
        <w:t xml:space="preserve"> de la réglementation bancaire et de la politique prudentielle</w:t>
      </w:r>
      <w:r w:rsidR="00937FFC">
        <w:rPr>
          <w:rFonts w:ascii="Arial" w:hAnsi="Arial" w:cs="Arial"/>
          <w:b/>
          <w:sz w:val="20"/>
          <w:szCs w:val="20"/>
        </w:rPr>
        <w:tab/>
      </w:r>
      <w:r>
        <w:rPr>
          <w:rFonts w:ascii="Arial" w:hAnsi="Arial" w:cs="Arial"/>
          <w:b/>
          <w:sz w:val="20"/>
          <w:szCs w:val="20"/>
        </w:rPr>
        <w:t xml:space="preserve"> page 4</w:t>
      </w:r>
    </w:p>
    <w:p w:rsidR="00AE565E" w:rsidRDefault="00AE565E" w:rsidP="00AE565E">
      <w:pPr>
        <w:ind w:left="426"/>
        <w:rPr>
          <w:rFonts w:ascii="Arial" w:hAnsi="Arial" w:cs="Arial"/>
          <w:b/>
          <w:sz w:val="20"/>
          <w:szCs w:val="20"/>
        </w:rPr>
      </w:pPr>
      <w:r>
        <w:rPr>
          <w:rFonts w:ascii="Arial" w:hAnsi="Arial" w:cs="Arial"/>
          <w:b/>
          <w:sz w:val="20"/>
          <w:szCs w:val="20"/>
        </w:rPr>
        <w:t>2.2 La Banque centrale et les évolutions de la politique monétaire</w:t>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t>page 11</w:t>
      </w:r>
    </w:p>
    <w:p w:rsidR="00CB4656" w:rsidRDefault="00AE565E" w:rsidP="00AE565E">
      <w:pPr>
        <w:ind w:left="426"/>
        <w:rPr>
          <w:rFonts w:ascii="Arial" w:hAnsi="Arial" w:cs="Arial"/>
          <w:b/>
          <w:sz w:val="20"/>
          <w:szCs w:val="20"/>
        </w:rPr>
      </w:pPr>
      <w:r w:rsidRPr="00AE565E">
        <w:rPr>
          <w:rFonts w:ascii="Arial" w:hAnsi="Arial" w:cs="Arial"/>
          <w:b/>
          <w:sz w:val="20"/>
          <w:szCs w:val="20"/>
        </w:rPr>
        <w:t xml:space="preserve">2.3 La question des coordinations : politiques budgétaire/monétaire, </w:t>
      </w:r>
    </w:p>
    <w:p w:rsidR="00CB4656" w:rsidRDefault="00AE565E" w:rsidP="00AE565E">
      <w:pPr>
        <w:ind w:left="426"/>
        <w:rPr>
          <w:rFonts w:ascii="Arial" w:hAnsi="Arial" w:cs="Arial"/>
          <w:b/>
          <w:sz w:val="20"/>
          <w:szCs w:val="20"/>
        </w:rPr>
      </w:pPr>
      <w:r w:rsidRPr="00AE565E">
        <w:rPr>
          <w:rFonts w:ascii="Arial" w:hAnsi="Arial" w:cs="Arial"/>
          <w:b/>
          <w:sz w:val="20"/>
          <w:szCs w:val="20"/>
        </w:rPr>
        <w:t xml:space="preserve">politique monétaire/politique prudentielle, politique monétaire entre </w:t>
      </w:r>
    </w:p>
    <w:p w:rsidR="00AE565E" w:rsidRDefault="00AE565E" w:rsidP="001655A8">
      <w:pPr>
        <w:spacing w:after="600"/>
        <w:ind w:left="426"/>
        <w:rPr>
          <w:rFonts w:ascii="Arial" w:hAnsi="Arial" w:cs="Arial"/>
          <w:b/>
          <w:sz w:val="20"/>
          <w:szCs w:val="20"/>
        </w:rPr>
      </w:pPr>
      <w:r w:rsidRPr="00AE565E">
        <w:rPr>
          <w:rFonts w:ascii="Arial" w:hAnsi="Arial" w:cs="Arial"/>
          <w:b/>
          <w:sz w:val="20"/>
          <w:szCs w:val="20"/>
        </w:rPr>
        <w:t>les banques centrales</w:t>
      </w:r>
      <w:r>
        <w:rPr>
          <w:rFonts w:ascii="Arial" w:hAnsi="Arial" w:cs="Arial"/>
          <w:b/>
          <w:sz w:val="20"/>
          <w:szCs w:val="20"/>
        </w:rPr>
        <w:t xml:space="preserve"> </w:t>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Pr>
          <w:rFonts w:ascii="Arial" w:hAnsi="Arial" w:cs="Arial"/>
          <w:b/>
          <w:sz w:val="20"/>
          <w:szCs w:val="20"/>
        </w:rPr>
        <w:t xml:space="preserve"> page </w:t>
      </w:r>
      <w:r w:rsidR="001655A8">
        <w:rPr>
          <w:rFonts w:ascii="Arial" w:hAnsi="Arial" w:cs="Arial"/>
          <w:b/>
          <w:sz w:val="20"/>
          <w:szCs w:val="20"/>
        </w:rPr>
        <w:t>2</w:t>
      </w:r>
      <w:r w:rsidR="00891AFC">
        <w:rPr>
          <w:rFonts w:ascii="Arial" w:hAnsi="Arial" w:cs="Arial"/>
          <w:b/>
          <w:sz w:val="20"/>
          <w:szCs w:val="20"/>
        </w:rPr>
        <w:t>2</w:t>
      </w:r>
    </w:p>
    <w:p w:rsidR="00AE565E" w:rsidRDefault="00AE565E" w:rsidP="001655A8">
      <w:pPr>
        <w:spacing w:after="600"/>
        <w:rPr>
          <w:rFonts w:ascii="Arial" w:hAnsi="Arial" w:cs="Arial"/>
          <w:b/>
          <w:sz w:val="20"/>
          <w:szCs w:val="20"/>
        </w:rPr>
      </w:pPr>
      <w:r>
        <w:rPr>
          <w:rFonts w:ascii="Arial" w:hAnsi="Arial" w:cs="Arial"/>
          <w:b/>
          <w:sz w:val="20"/>
          <w:szCs w:val="20"/>
        </w:rPr>
        <w:t xml:space="preserve">3. </w:t>
      </w:r>
      <w:r w:rsidR="00891AFC">
        <w:rPr>
          <w:rFonts w:ascii="Arial" w:hAnsi="Arial" w:cs="Arial"/>
          <w:b/>
          <w:sz w:val="20"/>
          <w:szCs w:val="20"/>
        </w:rPr>
        <w:t>Textes réglementaires relatifs aux sujets du</w:t>
      </w:r>
      <w:r>
        <w:rPr>
          <w:rFonts w:ascii="Arial" w:hAnsi="Arial" w:cs="Arial"/>
          <w:b/>
          <w:sz w:val="20"/>
          <w:szCs w:val="20"/>
        </w:rPr>
        <w:t xml:space="preserve"> bac</w:t>
      </w:r>
      <w:r w:rsidR="00891AFC">
        <w:rPr>
          <w:rFonts w:ascii="Arial" w:hAnsi="Arial" w:cs="Arial"/>
          <w:b/>
          <w:sz w:val="20"/>
          <w:szCs w:val="20"/>
        </w:rPr>
        <w:t>calauréat</w:t>
      </w:r>
      <w:r w:rsidR="00CB4656">
        <w:rPr>
          <w:rFonts w:ascii="Arial" w:hAnsi="Arial" w:cs="Arial"/>
          <w:b/>
          <w:sz w:val="20"/>
          <w:szCs w:val="20"/>
        </w:rPr>
        <w:t xml:space="preserve"> </w:t>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Pr>
          <w:rFonts w:ascii="Arial" w:hAnsi="Arial" w:cs="Arial"/>
          <w:b/>
          <w:sz w:val="20"/>
          <w:szCs w:val="20"/>
        </w:rPr>
        <w:t xml:space="preserve"> page </w:t>
      </w:r>
      <w:r w:rsidR="00891AFC">
        <w:rPr>
          <w:rFonts w:ascii="Arial" w:hAnsi="Arial" w:cs="Arial"/>
          <w:b/>
          <w:sz w:val="20"/>
          <w:szCs w:val="20"/>
        </w:rPr>
        <w:t>27</w:t>
      </w:r>
    </w:p>
    <w:p w:rsidR="00AE565E" w:rsidRDefault="00AE565E" w:rsidP="00AE565E">
      <w:pPr>
        <w:rPr>
          <w:rFonts w:ascii="Arial" w:hAnsi="Arial" w:cs="Arial"/>
          <w:b/>
          <w:sz w:val="20"/>
          <w:szCs w:val="20"/>
        </w:rPr>
      </w:pPr>
      <w:r>
        <w:rPr>
          <w:rFonts w:ascii="Arial" w:hAnsi="Arial" w:cs="Arial"/>
          <w:b/>
          <w:sz w:val="20"/>
          <w:szCs w:val="20"/>
        </w:rPr>
        <w:t xml:space="preserve">4. Bibliographie – </w:t>
      </w:r>
      <w:proofErr w:type="spellStart"/>
      <w:r>
        <w:rPr>
          <w:rFonts w:ascii="Arial" w:hAnsi="Arial" w:cs="Arial"/>
          <w:b/>
          <w:sz w:val="20"/>
          <w:szCs w:val="20"/>
        </w:rPr>
        <w:t>Sitographie</w:t>
      </w:r>
      <w:proofErr w:type="spellEnd"/>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937FFC">
        <w:rPr>
          <w:rFonts w:ascii="Arial" w:hAnsi="Arial" w:cs="Arial"/>
          <w:b/>
          <w:sz w:val="20"/>
          <w:szCs w:val="20"/>
        </w:rPr>
        <w:tab/>
      </w:r>
      <w:r w:rsidR="001655A8">
        <w:rPr>
          <w:rFonts w:ascii="Arial" w:hAnsi="Arial" w:cs="Arial"/>
          <w:b/>
          <w:sz w:val="20"/>
          <w:szCs w:val="20"/>
        </w:rPr>
        <w:t xml:space="preserve">page </w:t>
      </w:r>
      <w:r w:rsidR="00891AFC">
        <w:rPr>
          <w:rFonts w:ascii="Arial" w:hAnsi="Arial" w:cs="Arial"/>
          <w:b/>
          <w:sz w:val="20"/>
          <w:szCs w:val="20"/>
        </w:rPr>
        <w:t>28</w:t>
      </w:r>
    </w:p>
    <w:p w:rsidR="00937FFC" w:rsidRDefault="00937FFC" w:rsidP="00AE565E">
      <w:pPr>
        <w:rPr>
          <w:rFonts w:ascii="Arial" w:hAnsi="Arial" w:cs="Arial"/>
          <w:b/>
          <w:sz w:val="20"/>
          <w:szCs w:val="20"/>
        </w:rPr>
      </w:pPr>
    </w:p>
    <w:p w:rsidR="00937FFC" w:rsidRDefault="00937FFC" w:rsidP="00AE565E">
      <w:pPr>
        <w:rPr>
          <w:rFonts w:ascii="Arial" w:hAnsi="Arial" w:cs="Arial"/>
          <w:b/>
          <w:sz w:val="20"/>
          <w:szCs w:val="20"/>
        </w:rPr>
      </w:pPr>
    </w:p>
    <w:p w:rsidR="00937FFC" w:rsidRDefault="00937FFC" w:rsidP="00AE565E">
      <w:pPr>
        <w:rPr>
          <w:rFonts w:ascii="Arial" w:hAnsi="Arial" w:cs="Arial"/>
          <w:b/>
          <w:sz w:val="20"/>
          <w:szCs w:val="20"/>
        </w:rPr>
      </w:pPr>
    </w:p>
    <w:p w:rsidR="00937FFC" w:rsidRDefault="00937FFC" w:rsidP="00AE565E">
      <w:pPr>
        <w:rPr>
          <w:rFonts w:ascii="Arial" w:hAnsi="Arial" w:cs="Arial"/>
          <w:b/>
          <w:sz w:val="20"/>
          <w:szCs w:val="20"/>
        </w:rPr>
      </w:pPr>
    </w:p>
    <w:p w:rsidR="00937FFC" w:rsidRDefault="00937FFC" w:rsidP="00AE565E">
      <w:pPr>
        <w:rPr>
          <w:rFonts w:ascii="Arial" w:hAnsi="Arial" w:cs="Arial"/>
          <w:b/>
          <w:sz w:val="20"/>
          <w:szCs w:val="20"/>
        </w:rPr>
      </w:pPr>
    </w:p>
    <w:p w:rsidR="00937FFC" w:rsidRDefault="00937FFC" w:rsidP="00AE565E">
      <w:pPr>
        <w:rPr>
          <w:rFonts w:ascii="Arial" w:hAnsi="Arial" w:cs="Arial"/>
          <w:b/>
          <w:sz w:val="20"/>
          <w:szCs w:val="20"/>
        </w:rPr>
      </w:pPr>
    </w:p>
    <w:p w:rsidR="00937FFC" w:rsidRDefault="00937FFC" w:rsidP="00AE565E">
      <w:pPr>
        <w:rPr>
          <w:rFonts w:ascii="Arial" w:hAnsi="Arial" w:cs="Arial"/>
          <w:b/>
          <w:sz w:val="20"/>
          <w:szCs w:val="20"/>
        </w:rPr>
      </w:pPr>
    </w:p>
    <w:p w:rsidR="00937FFC" w:rsidRDefault="00937FFC" w:rsidP="00AE565E">
      <w:pPr>
        <w:rPr>
          <w:rFonts w:ascii="Arial" w:hAnsi="Arial" w:cs="Arial"/>
          <w:b/>
          <w:sz w:val="20"/>
          <w:szCs w:val="20"/>
        </w:rPr>
      </w:pPr>
    </w:p>
    <w:p w:rsidR="00937FFC" w:rsidRDefault="00937FFC" w:rsidP="00AE565E">
      <w:pPr>
        <w:rPr>
          <w:rFonts w:ascii="Arial" w:hAnsi="Arial" w:cs="Arial"/>
          <w:b/>
          <w:sz w:val="20"/>
          <w:szCs w:val="20"/>
        </w:rPr>
      </w:pPr>
    </w:p>
    <w:p w:rsidR="00937FFC" w:rsidRDefault="00937FFC" w:rsidP="00AE565E">
      <w:pPr>
        <w:rPr>
          <w:rFonts w:ascii="Arial" w:hAnsi="Arial" w:cs="Arial"/>
          <w:b/>
          <w:sz w:val="20"/>
          <w:szCs w:val="20"/>
        </w:rPr>
      </w:pPr>
    </w:p>
    <w:p w:rsidR="00937FFC" w:rsidRDefault="00937FFC" w:rsidP="00AE565E">
      <w:pPr>
        <w:rPr>
          <w:rFonts w:ascii="Arial" w:hAnsi="Arial" w:cs="Arial"/>
          <w:b/>
          <w:sz w:val="20"/>
          <w:szCs w:val="20"/>
        </w:rPr>
      </w:pPr>
    </w:p>
    <w:p w:rsidR="00937FFC" w:rsidRDefault="00937FFC" w:rsidP="00AE565E">
      <w:pPr>
        <w:rPr>
          <w:rFonts w:ascii="Arial" w:hAnsi="Arial" w:cs="Arial"/>
          <w:b/>
          <w:sz w:val="20"/>
          <w:szCs w:val="20"/>
        </w:rPr>
      </w:pPr>
    </w:p>
    <w:p w:rsidR="00937FFC" w:rsidRDefault="00937FFC" w:rsidP="00AE565E">
      <w:pPr>
        <w:rPr>
          <w:rFonts w:ascii="Arial" w:hAnsi="Arial" w:cs="Arial"/>
          <w:b/>
          <w:sz w:val="20"/>
          <w:szCs w:val="20"/>
        </w:rPr>
      </w:pPr>
    </w:p>
    <w:p w:rsidR="00937FFC" w:rsidRDefault="00937FFC" w:rsidP="00AE565E">
      <w:pPr>
        <w:rPr>
          <w:rFonts w:ascii="Arial" w:hAnsi="Arial" w:cs="Arial"/>
          <w:b/>
          <w:sz w:val="20"/>
          <w:szCs w:val="20"/>
        </w:rPr>
      </w:pPr>
    </w:p>
    <w:p w:rsidR="00937FFC" w:rsidRDefault="00937FFC" w:rsidP="00AE565E">
      <w:pPr>
        <w:rPr>
          <w:rFonts w:ascii="Arial" w:hAnsi="Arial" w:cs="Arial"/>
          <w:b/>
          <w:sz w:val="20"/>
          <w:szCs w:val="20"/>
        </w:rPr>
      </w:pPr>
    </w:p>
    <w:p w:rsidR="00937FFC" w:rsidRPr="00937FFC" w:rsidRDefault="00937FFC" w:rsidP="00AE565E">
      <w:pPr>
        <w:rPr>
          <w:rFonts w:ascii="Arial" w:hAnsi="Arial" w:cs="Arial"/>
          <w:b/>
          <w:i/>
          <w:color w:val="808080" w:themeColor="background1" w:themeShade="80"/>
          <w:sz w:val="20"/>
          <w:szCs w:val="20"/>
        </w:rPr>
      </w:pPr>
      <w:r w:rsidRPr="00937FFC">
        <w:rPr>
          <w:rFonts w:ascii="Arial" w:hAnsi="Arial" w:cs="Arial"/>
          <w:b/>
          <w:i/>
          <w:color w:val="808080" w:themeColor="background1" w:themeShade="80"/>
          <w:sz w:val="20"/>
          <w:szCs w:val="20"/>
        </w:rPr>
        <w:t>Réalisation du dossier : Arnaud PELLISSIER, équipe des formateurs de formateurs en Sciences économique</w:t>
      </w:r>
      <w:r>
        <w:rPr>
          <w:rFonts w:ascii="Arial" w:hAnsi="Arial" w:cs="Arial"/>
          <w:b/>
          <w:i/>
          <w:color w:val="808080" w:themeColor="background1" w:themeShade="80"/>
          <w:sz w:val="20"/>
          <w:szCs w:val="20"/>
        </w:rPr>
        <w:t>s</w:t>
      </w:r>
      <w:r w:rsidRPr="00937FFC">
        <w:rPr>
          <w:rFonts w:ascii="Arial" w:hAnsi="Arial" w:cs="Arial"/>
          <w:b/>
          <w:i/>
          <w:color w:val="808080" w:themeColor="background1" w:themeShade="80"/>
          <w:sz w:val="20"/>
          <w:szCs w:val="20"/>
        </w:rPr>
        <w:t xml:space="preserve"> et sociale</w:t>
      </w:r>
      <w:r>
        <w:rPr>
          <w:rFonts w:ascii="Arial" w:hAnsi="Arial" w:cs="Arial"/>
          <w:b/>
          <w:i/>
          <w:color w:val="808080" w:themeColor="background1" w:themeShade="80"/>
          <w:sz w:val="20"/>
          <w:szCs w:val="20"/>
        </w:rPr>
        <w:t>s</w:t>
      </w:r>
      <w:r w:rsidRPr="00937FFC">
        <w:rPr>
          <w:rFonts w:ascii="Arial" w:hAnsi="Arial" w:cs="Arial"/>
          <w:b/>
          <w:i/>
          <w:color w:val="808080" w:themeColor="background1" w:themeShade="80"/>
          <w:sz w:val="20"/>
          <w:szCs w:val="20"/>
        </w:rPr>
        <w:t xml:space="preserve"> de l’Académie d’Orléans-Tours.</w:t>
      </w:r>
    </w:p>
    <w:p w:rsidR="00AE565E" w:rsidRDefault="00AE565E">
      <w:pPr>
        <w:rPr>
          <w:rFonts w:ascii="Arial" w:hAnsi="Arial" w:cs="Arial"/>
          <w:b/>
          <w:sz w:val="20"/>
          <w:szCs w:val="20"/>
        </w:rPr>
      </w:pPr>
      <w:r>
        <w:rPr>
          <w:rFonts w:ascii="Arial" w:hAnsi="Arial" w:cs="Arial"/>
          <w:b/>
          <w:sz w:val="20"/>
          <w:szCs w:val="20"/>
        </w:rPr>
        <w:br w:type="page"/>
      </w:r>
    </w:p>
    <w:p w:rsidR="001C0A41" w:rsidRPr="00E22C25" w:rsidRDefault="00D91216" w:rsidP="00E22C25">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E22C25">
        <w:rPr>
          <w:rFonts w:ascii="Arial" w:hAnsi="Arial" w:cs="Arial"/>
          <w:b/>
          <w:sz w:val="20"/>
          <w:szCs w:val="20"/>
        </w:rPr>
        <w:lastRenderedPageBreak/>
        <w:t>1. les programmes qui traitent de  notre sujet :</w:t>
      </w:r>
    </w:p>
    <w:p w:rsidR="00E22C25" w:rsidRDefault="00E22C25" w:rsidP="00E22C25">
      <w:pPr>
        <w:jc w:val="both"/>
        <w:rPr>
          <w:rFonts w:ascii="Arial" w:hAnsi="Arial" w:cs="Arial"/>
          <w:b/>
          <w:sz w:val="20"/>
          <w:szCs w:val="20"/>
        </w:rPr>
      </w:pPr>
    </w:p>
    <w:p w:rsidR="00584137" w:rsidRPr="00E22C25" w:rsidRDefault="00F307DB" w:rsidP="00E22C25">
      <w:pPr>
        <w:jc w:val="both"/>
        <w:rPr>
          <w:rFonts w:ascii="Arial" w:hAnsi="Arial" w:cs="Arial"/>
          <w:b/>
          <w:sz w:val="20"/>
          <w:szCs w:val="20"/>
        </w:rPr>
      </w:pPr>
      <w:r w:rsidRPr="00E22C25">
        <w:rPr>
          <w:rFonts w:ascii="Arial" w:hAnsi="Arial" w:cs="Arial"/>
          <w:b/>
          <w:sz w:val="20"/>
          <w:szCs w:val="20"/>
        </w:rPr>
        <w:t>1.</w:t>
      </w:r>
      <w:r w:rsidR="00D91216" w:rsidRPr="00E22C25">
        <w:rPr>
          <w:rFonts w:ascii="Arial" w:hAnsi="Arial" w:cs="Arial"/>
          <w:b/>
          <w:sz w:val="20"/>
          <w:szCs w:val="20"/>
        </w:rPr>
        <w:t>1</w:t>
      </w:r>
      <w:r w:rsidRPr="00E22C25">
        <w:rPr>
          <w:rFonts w:ascii="Arial" w:hAnsi="Arial" w:cs="Arial"/>
          <w:b/>
          <w:sz w:val="20"/>
          <w:szCs w:val="20"/>
        </w:rPr>
        <w:t xml:space="preserve"> n</w:t>
      </w:r>
      <w:r w:rsidR="00695535" w:rsidRPr="00E22C25">
        <w:rPr>
          <w:rFonts w:ascii="Arial" w:hAnsi="Arial" w:cs="Arial"/>
          <w:b/>
          <w:sz w:val="20"/>
          <w:szCs w:val="20"/>
        </w:rPr>
        <w:t>iveau première</w:t>
      </w:r>
    </w:p>
    <w:p w:rsidR="00695535" w:rsidRPr="00E22C25" w:rsidRDefault="00695535" w:rsidP="00E22C25">
      <w:pPr>
        <w:jc w:val="both"/>
        <w:rPr>
          <w:rFonts w:ascii="Arial" w:hAnsi="Arial" w:cs="Arial"/>
          <w:sz w:val="20"/>
          <w:szCs w:val="20"/>
        </w:rPr>
      </w:pPr>
      <w:r w:rsidRPr="00E22C25">
        <w:rPr>
          <w:rFonts w:ascii="Arial" w:hAnsi="Arial" w:cs="Arial"/>
          <w:noProof/>
          <w:sz w:val="20"/>
          <w:szCs w:val="20"/>
          <w:lang w:eastAsia="fr-FR"/>
        </w:rPr>
        <w:drawing>
          <wp:inline distT="0" distB="0" distL="0" distR="0" wp14:anchorId="4935D9FB" wp14:editId="31F8425C">
            <wp:extent cx="5755745" cy="857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67153"/>
                    <a:stretch/>
                  </pic:blipFill>
                  <pic:spPr bwMode="auto">
                    <a:xfrm>
                      <a:off x="0" y="0"/>
                      <a:ext cx="5760720" cy="857991"/>
                    </a:xfrm>
                    <a:prstGeom prst="rect">
                      <a:avLst/>
                    </a:prstGeom>
                    <a:ln>
                      <a:noFill/>
                    </a:ln>
                    <a:extLst>
                      <a:ext uri="{53640926-AAD7-44D8-BBD7-CCE9431645EC}">
                        <a14:shadowObscured xmlns:a14="http://schemas.microsoft.com/office/drawing/2010/main"/>
                      </a:ext>
                    </a:extLst>
                  </pic:spPr>
                </pic:pic>
              </a:graphicData>
            </a:graphic>
          </wp:inline>
        </w:drawing>
      </w:r>
    </w:p>
    <w:p w:rsidR="00695535" w:rsidRPr="00E22C25" w:rsidRDefault="00695535" w:rsidP="00E22C25">
      <w:pPr>
        <w:jc w:val="both"/>
        <w:rPr>
          <w:rFonts w:ascii="Arial" w:hAnsi="Arial" w:cs="Arial"/>
          <w:sz w:val="20"/>
          <w:szCs w:val="20"/>
        </w:rPr>
      </w:pPr>
      <w:r w:rsidRPr="00E22C25">
        <w:rPr>
          <w:rFonts w:ascii="Arial" w:hAnsi="Arial" w:cs="Arial"/>
          <w:noProof/>
          <w:sz w:val="20"/>
          <w:szCs w:val="20"/>
          <w:lang w:eastAsia="fr-FR"/>
        </w:rPr>
        <w:drawing>
          <wp:inline distT="0" distB="0" distL="0" distR="0" wp14:anchorId="1C168489" wp14:editId="26E74FB1">
            <wp:extent cx="5760720" cy="90030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900304"/>
                    </a:xfrm>
                    <a:prstGeom prst="rect">
                      <a:avLst/>
                    </a:prstGeom>
                  </pic:spPr>
                </pic:pic>
              </a:graphicData>
            </a:graphic>
          </wp:inline>
        </w:drawing>
      </w:r>
    </w:p>
    <w:p w:rsidR="00695535" w:rsidRPr="00E22C25" w:rsidRDefault="00D91216" w:rsidP="00E22C25">
      <w:pPr>
        <w:jc w:val="both"/>
        <w:rPr>
          <w:rFonts w:ascii="Arial" w:hAnsi="Arial" w:cs="Arial"/>
          <w:sz w:val="20"/>
          <w:szCs w:val="20"/>
        </w:rPr>
      </w:pPr>
      <w:r w:rsidRPr="00E22C25">
        <w:rPr>
          <w:rFonts w:ascii="Arial" w:hAnsi="Arial" w:cs="Arial"/>
          <w:b/>
          <w:sz w:val="20"/>
          <w:szCs w:val="20"/>
        </w:rPr>
        <w:t>1.2</w:t>
      </w:r>
      <w:r w:rsidR="00695535" w:rsidRPr="00E22C25">
        <w:rPr>
          <w:rFonts w:ascii="Arial" w:hAnsi="Arial" w:cs="Arial"/>
          <w:b/>
          <w:sz w:val="20"/>
          <w:szCs w:val="20"/>
        </w:rPr>
        <w:t xml:space="preserve"> niveau terminale, enseignement spécifique</w:t>
      </w:r>
    </w:p>
    <w:p w:rsidR="00695535" w:rsidRPr="00E22C25" w:rsidRDefault="00695535" w:rsidP="00E22C25">
      <w:pPr>
        <w:jc w:val="both"/>
        <w:rPr>
          <w:rFonts w:ascii="Arial" w:hAnsi="Arial" w:cs="Arial"/>
          <w:sz w:val="20"/>
          <w:szCs w:val="20"/>
        </w:rPr>
      </w:pPr>
      <w:r w:rsidRPr="00E22C25">
        <w:rPr>
          <w:rFonts w:ascii="Arial" w:hAnsi="Arial" w:cs="Arial"/>
          <w:noProof/>
          <w:sz w:val="20"/>
          <w:szCs w:val="20"/>
          <w:lang w:eastAsia="fr-FR"/>
        </w:rPr>
        <w:drawing>
          <wp:inline distT="0" distB="0" distL="0" distR="0" wp14:anchorId="12E8FD90" wp14:editId="0F544300">
            <wp:extent cx="5760720" cy="1117112"/>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1117112"/>
                    </a:xfrm>
                    <a:prstGeom prst="rect">
                      <a:avLst/>
                    </a:prstGeom>
                  </pic:spPr>
                </pic:pic>
              </a:graphicData>
            </a:graphic>
          </wp:inline>
        </w:drawing>
      </w:r>
    </w:p>
    <w:p w:rsidR="00395124" w:rsidRPr="00E22C25" w:rsidRDefault="007E34DD" w:rsidP="00E22C25">
      <w:pPr>
        <w:jc w:val="both"/>
        <w:rPr>
          <w:rFonts w:ascii="Arial" w:hAnsi="Arial" w:cs="Arial"/>
          <w:sz w:val="20"/>
          <w:szCs w:val="20"/>
        </w:rPr>
      </w:pPr>
      <w:r w:rsidRPr="00E22C25">
        <w:rPr>
          <w:rFonts w:ascii="Arial" w:hAnsi="Arial" w:cs="Arial"/>
          <w:sz w:val="20"/>
          <w:szCs w:val="20"/>
        </w:rPr>
        <w:t xml:space="preserve">  </w:t>
      </w:r>
      <w:r w:rsidR="0085381F" w:rsidRPr="00E22C25">
        <w:rPr>
          <w:rFonts w:ascii="Arial" w:hAnsi="Arial" w:cs="Arial"/>
          <w:sz w:val="20"/>
          <w:szCs w:val="20"/>
        </w:rPr>
        <w:t xml:space="preserve">  </w:t>
      </w:r>
    </w:p>
    <w:p w:rsidR="00695535" w:rsidRPr="00E22C25" w:rsidRDefault="00D91216" w:rsidP="00E22C25">
      <w:pPr>
        <w:jc w:val="both"/>
        <w:rPr>
          <w:rFonts w:ascii="Arial" w:hAnsi="Arial" w:cs="Arial"/>
          <w:b/>
          <w:sz w:val="20"/>
          <w:szCs w:val="20"/>
        </w:rPr>
      </w:pPr>
      <w:r w:rsidRPr="00E22C25">
        <w:rPr>
          <w:rFonts w:ascii="Arial" w:hAnsi="Arial" w:cs="Arial"/>
          <w:b/>
          <w:sz w:val="20"/>
          <w:szCs w:val="20"/>
        </w:rPr>
        <w:t>1.3</w:t>
      </w:r>
      <w:r w:rsidR="00695535" w:rsidRPr="00E22C25">
        <w:rPr>
          <w:rFonts w:ascii="Arial" w:hAnsi="Arial" w:cs="Arial"/>
          <w:b/>
          <w:sz w:val="20"/>
          <w:szCs w:val="20"/>
        </w:rPr>
        <w:t xml:space="preserve"> niveau terminale, spécialité économie approfondie</w:t>
      </w:r>
    </w:p>
    <w:p w:rsidR="00695535" w:rsidRPr="00E22C25" w:rsidRDefault="00695535" w:rsidP="00E22C25">
      <w:pPr>
        <w:jc w:val="both"/>
        <w:rPr>
          <w:rFonts w:ascii="Arial" w:hAnsi="Arial" w:cs="Arial"/>
          <w:sz w:val="20"/>
          <w:szCs w:val="20"/>
        </w:rPr>
      </w:pPr>
      <w:r w:rsidRPr="00E22C25">
        <w:rPr>
          <w:rFonts w:ascii="Arial" w:hAnsi="Arial" w:cs="Arial"/>
          <w:noProof/>
          <w:sz w:val="20"/>
          <w:szCs w:val="20"/>
          <w:lang w:eastAsia="fr-FR"/>
        </w:rPr>
        <w:drawing>
          <wp:inline distT="0" distB="0" distL="0" distR="0" wp14:anchorId="2E9B07A1" wp14:editId="0C8080E9">
            <wp:extent cx="5760720" cy="1117724"/>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1117724"/>
                    </a:xfrm>
                    <a:prstGeom prst="rect">
                      <a:avLst/>
                    </a:prstGeom>
                  </pic:spPr>
                </pic:pic>
              </a:graphicData>
            </a:graphic>
          </wp:inline>
        </w:drawing>
      </w:r>
    </w:p>
    <w:p w:rsidR="00695535" w:rsidRPr="00E22C25" w:rsidRDefault="00695535" w:rsidP="00E22C25">
      <w:pPr>
        <w:jc w:val="both"/>
        <w:rPr>
          <w:rFonts w:ascii="Arial" w:hAnsi="Arial" w:cs="Arial"/>
          <w:sz w:val="20"/>
          <w:szCs w:val="20"/>
        </w:rPr>
      </w:pPr>
    </w:p>
    <w:p w:rsidR="00C92942" w:rsidRPr="00E22C25" w:rsidRDefault="00C92942" w:rsidP="00E22C25">
      <w:pPr>
        <w:jc w:val="both"/>
        <w:rPr>
          <w:rFonts w:ascii="Arial" w:hAnsi="Arial" w:cs="Arial"/>
          <w:sz w:val="20"/>
          <w:szCs w:val="20"/>
        </w:rPr>
      </w:pPr>
      <w:r w:rsidRPr="00E22C25">
        <w:rPr>
          <w:rFonts w:ascii="Arial" w:hAnsi="Arial" w:cs="Arial"/>
          <w:sz w:val="20"/>
          <w:szCs w:val="20"/>
        </w:rPr>
        <w:br w:type="page"/>
      </w:r>
    </w:p>
    <w:p w:rsidR="00D91216" w:rsidRPr="00697A97" w:rsidRDefault="00D91216" w:rsidP="00697A97">
      <w:pPr>
        <w:pBdr>
          <w:top w:val="single" w:sz="4" w:space="1" w:color="auto"/>
          <w:left w:val="single" w:sz="4" w:space="4" w:color="auto"/>
          <w:bottom w:val="single" w:sz="4" w:space="1" w:color="auto"/>
          <w:right w:val="single" w:sz="4" w:space="4" w:color="auto"/>
        </w:pBdr>
        <w:spacing w:after="120"/>
        <w:jc w:val="center"/>
        <w:rPr>
          <w:rFonts w:ascii="Arial" w:hAnsi="Arial" w:cs="Arial"/>
          <w:b/>
          <w:sz w:val="24"/>
          <w:szCs w:val="20"/>
        </w:rPr>
      </w:pPr>
      <w:r w:rsidRPr="00697A97">
        <w:rPr>
          <w:rFonts w:ascii="Arial" w:hAnsi="Arial" w:cs="Arial"/>
          <w:b/>
          <w:sz w:val="24"/>
          <w:szCs w:val="20"/>
        </w:rPr>
        <w:lastRenderedPageBreak/>
        <w:t>2. Des ressources documentaires :</w:t>
      </w:r>
    </w:p>
    <w:p w:rsidR="00E22C25" w:rsidRPr="00697A97" w:rsidRDefault="00E22C25" w:rsidP="00E22C25">
      <w:pPr>
        <w:pBdr>
          <w:top w:val="single" w:sz="4" w:space="1" w:color="auto"/>
          <w:left w:val="single" w:sz="4" w:space="4" w:color="auto"/>
          <w:bottom w:val="single" w:sz="4" w:space="1" w:color="auto"/>
          <w:right w:val="single" w:sz="4" w:space="4" w:color="auto"/>
        </w:pBdr>
        <w:jc w:val="center"/>
        <w:rPr>
          <w:rFonts w:ascii="Arial" w:hAnsi="Arial" w:cs="Arial"/>
          <w:b/>
          <w:i/>
          <w:sz w:val="20"/>
          <w:szCs w:val="20"/>
        </w:rPr>
      </w:pPr>
      <w:r w:rsidRPr="00697A97">
        <w:rPr>
          <w:rFonts w:ascii="Arial" w:hAnsi="Arial" w:cs="Arial"/>
          <w:b/>
          <w:i/>
          <w:sz w:val="20"/>
          <w:szCs w:val="20"/>
        </w:rPr>
        <w:t>Des documents plus ou moins longs afin que chacun puisse y puiser ce qu’il cherche.</w:t>
      </w:r>
    </w:p>
    <w:p w:rsidR="00E22C25" w:rsidRDefault="00E22C25" w:rsidP="00E22C25">
      <w:pPr>
        <w:jc w:val="both"/>
        <w:rPr>
          <w:rFonts w:ascii="Arial" w:hAnsi="Arial" w:cs="Arial"/>
          <w:sz w:val="20"/>
          <w:szCs w:val="20"/>
        </w:rPr>
      </w:pPr>
    </w:p>
    <w:p w:rsidR="00D91216" w:rsidRPr="00A11511" w:rsidRDefault="00D91216" w:rsidP="00A11511">
      <w:pPr>
        <w:jc w:val="center"/>
        <w:rPr>
          <w:rFonts w:ascii="Arial" w:hAnsi="Arial" w:cs="Arial"/>
          <w:b/>
          <w:sz w:val="28"/>
          <w:szCs w:val="28"/>
        </w:rPr>
      </w:pPr>
      <w:r w:rsidRPr="00A11511">
        <w:rPr>
          <w:rFonts w:ascii="Arial" w:hAnsi="Arial" w:cs="Arial"/>
          <w:b/>
          <w:sz w:val="28"/>
          <w:szCs w:val="28"/>
        </w:rPr>
        <w:t>2.1 Les évolutions de la réglementation bancaire et de la politique prudentielle</w:t>
      </w:r>
    </w:p>
    <w:p w:rsidR="0068251D" w:rsidRPr="00E22C25" w:rsidRDefault="0068251D" w:rsidP="00E22C25">
      <w:pPr>
        <w:jc w:val="both"/>
        <w:rPr>
          <w:rFonts w:ascii="Arial" w:hAnsi="Arial" w:cs="Arial"/>
          <w:b/>
          <w:sz w:val="20"/>
          <w:szCs w:val="20"/>
          <w:u w:val="single"/>
        </w:rPr>
      </w:pPr>
      <w:r w:rsidRPr="00E22C25">
        <w:rPr>
          <w:rFonts w:ascii="Arial" w:hAnsi="Arial" w:cs="Arial"/>
          <w:b/>
          <w:sz w:val="20"/>
          <w:szCs w:val="20"/>
          <w:u w:val="single"/>
        </w:rPr>
        <w:t>Document</w:t>
      </w:r>
      <w:r w:rsidR="00E22C25" w:rsidRPr="00E22C25">
        <w:rPr>
          <w:rFonts w:ascii="Arial" w:hAnsi="Arial" w:cs="Arial"/>
          <w:b/>
          <w:sz w:val="20"/>
          <w:szCs w:val="20"/>
          <w:u w:val="single"/>
        </w:rPr>
        <w:t xml:space="preserve"> 1</w:t>
      </w:r>
      <w:r w:rsidRPr="00E22C25">
        <w:rPr>
          <w:rFonts w:ascii="Arial" w:hAnsi="Arial" w:cs="Arial"/>
          <w:b/>
          <w:sz w:val="20"/>
          <w:szCs w:val="20"/>
          <w:u w:val="single"/>
        </w:rPr>
        <w:t> : Le comité de Bâle</w:t>
      </w:r>
    </w:p>
    <w:p w:rsidR="0068251D" w:rsidRPr="00E22C25" w:rsidRDefault="0068251D" w:rsidP="00E22C25">
      <w:pPr>
        <w:spacing w:after="0"/>
        <w:jc w:val="both"/>
        <w:rPr>
          <w:rFonts w:ascii="Arial" w:hAnsi="Arial" w:cs="Arial"/>
          <w:sz w:val="20"/>
          <w:szCs w:val="20"/>
        </w:rPr>
      </w:pPr>
      <w:r w:rsidRPr="00E22C25">
        <w:rPr>
          <w:rFonts w:ascii="Arial" w:hAnsi="Arial" w:cs="Arial"/>
          <w:sz w:val="20"/>
          <w:szCs w:val="20"/>
        </w:rPr>
        <w:t>Créé en 1974, le Comité de Bâle sur le contrôle bancaire promeut des normes prudentielles pour les banques. Il s'agit d'une éma</w:t>
      </w:r>
      <w:r w:rsidRPr="00E22C25">
        <w:rPr>
          <w:rFonts w:ascii="Arial" w:hAnsi="Arial" w:cs="Arial"/>
          <w:sz w:val="20"/>
          <w:szCs w:val="20"/>
        </w:rPr>
        <w:softHyphen/>
        <w:t>nation de la Banque des règlements internationaux [BRI) - la plus ancienne institution financière internationale, instituée en 1930, qui assure notamment une certaine coordination des banques centrales.</w:t>
      </w:r>
    </w:p>
    <w:p w:rsidR="0068251D" w:rsidRPr="00E22C25" w:rsidRDefault="0068251D" w:rsidP="00E22C25">
      <w:pPr>
        <w:spacing w:after="0"/>
        <w:jc w:val="both"/>
        <w:rPr>
          <w:rFonts w:ascii="Arial" w:hAnsi="Arial" w:cs="Arial"/>
          <w:sz w:val="20"/>
          <w:szCs w:val="20"/>
        </w:rPr>
      </w:pPr>
      <w:r w:rsidRPr="00E22C25">
        <w:rPr>
          <w:rFonts w:ascii="Arial" w:hAnsi="Arial" w:cs="Arial"/>
          <w:sz w:val="20"/>
          <w:szCs w:val="20"/>
        </w:rPr>
        <w:t xml:space="preserve">En 1988, les accords de </w:t>
      </w:r>
      <w:r w:rsidRPr="00E22C25">
        <w:rPr>
          <w:rFonts w:ascii="Arial" w:hAnsi="Arial" w:cs="Arial"/>
          <w:i/>
          <w:iCs/>
          <w:sz w:val="20"/>
          <w:szCs w:val="20"/>
        </w:rPr>
        <w:t xml:space="preserve">«Bâle 1 </w:t>
      </w:r>
      <w:r w:rsidRPr="00E22C25">
        <w:rPr>
          <w:rFonts w:ascii="Arial" w:hAnsi="Arial" w:cs="Arial"/>
          <w:sz w:val="20"/>
          <w:szCs w:val="20"/>
        </w:rPr>
        <w:t xml:space="preserve">», qui portent sur le risque de crédit (risque de défaut de paiement de l'emprunteur], fixent un ratio Cooke, c'est-à-dire un ratio international de solvabilité qui oblige les banques à proportionner leurs fonds propres à hauteur de 8 % de leurs engagements risqués. </w:t>
      </w:r>
    </w:p>
    <w:p w:rsidR="0068251D" w:rsidRPr="00E22C25" w:rsidRDefault="0068251D" w:rsidP="00E22C25">
      <w:pPr>
        <w:spacing w:after="0"/>
        <w:jc w:val="both"/>
        <w:rPr>
          <w:rFonts w:ascii="Arial" w:hAnsi="Arial" w:cs="Arial"/>
          <w:sz w:val="20"/>
          <w:szCs w:val="20"/>
        </w:rPr>
      </w:pPr>
      <w:r w:rsidRPr="00E22C25">
        <w:rPr>
          <w:rFonts w:ascii="Arial" w:hAnsi="Arial" w:cs="Arial"/>
          <w:sz w:val="20"/>
          <w:szCs w:val="20"/>
        </w:rPr>
        <w:t xml:space="preserve">En 2004, les accords de </w:t>
      </w:r>
      <w:r w:rsidRPr="00E22C25">
        <w:rPr>
          <w:rFonts w:ascii="Arial" w:hAnsi="Arial" w:cs="Arial"/>
          <w:i/>
          <w:iCs/>
          <w:sz w:val="20"/>
          <w:szCs w:val="20"/>
        </w:rPr>
        <w:t>«</w:t>
      </w:r>
      <w:r w:rsidR="00C92F6E">
        <w:rPr>
          <w:rFonts w:ascii="Arial" w:hAnsi="Arial" w:cs="Arial"/>
          <w:i/>
          <w:iCs/>
          <w:sz w:val="20"/>
          <w:szCs w:val="20"/>
        </w:rPr>
        <w:t xml:space="preserve"> </w:t>
      </w:r>
      <w:r w:rsidRPr="00E22C25">
        <w:rPr>
          <w:rFonts w:ascii="Arial" w:hAnsi="Arial" w:cs="Arial"/>
          <w:i/>
          <w:iCs/>
          <w:sz w:val="20"/>
          <w:szCs w:val="20"/>
        </w:rPr>
        <w:t xml:space="preserve">Bâle </w:t>
      </w:r>
      <w:proofErr w:type="spellStart"/>
      <w:r w:rsidRPr="00E22C25">
        <w:rPr>
          <w:rFonts w:ascii="Arial" w:hAnsi="Arial" w:cs="Arial"/>
          <w:i/>
          <w:iCs/>
          <w:sz w:val="20"/>
          <w:szCs w:val="20"/>
        </w:rPr>
        <w:t>ll</w:t>
      </w:r>
      <w:proofErr w:type="spellEnd"/>
      <w:r w:rsidRPr="00E22C25">
        <w:rPr>
          <w:rFonts w:ascii="Arial" w:hAnsi="Arial" w:cs="Arial"/>
          <w:i/>
          <w:iCs/>
          <w:sz w:val="20"/>
          <w:szCs w:val="20"/>
        </w:rPr>
        <w:t xml:space="preserve"> » </w:t>
      </w:r>
      <w:r w:rsidRPr="00E22C25">
        <w:rPr>
          <w:rFonts w:ascii="Arial" w:hAnsi="Arial" w:cs="Arial"/>
          <w:sz w:val="20"/>
          <w:szCs w:val="20"/>
        </w:rPr>
        <w:t xml:space="preserve">remplacent le ratio Cooke par le ratio Mc </w:t>
      </w:r>
      <w:proofErr w:type="spellStart"/>
      <w:r w:rsidRPr="00E22C25">
        <w:rPr>
          <w:rFonts w:ascii="Arial" w:hAnsi="Arial" w:cs="Arial"/>
          <w:sz w:val="20"/>
          <w:szCs w:val="20"/>
        </w:rPr>
        <w:t>Donough</w:t>
      </w:r>
      <w:proofErr w:type="spellEnd"/>
      <w:r w:rsidRPr="00E22C25">
        <w:rPr>
          <w:rFonts w:ascii="Arial" w:hAnsi="Arial" w:cs="Arial"/>
          <w:sz w:val="20"/>
          <w:szCs w:val="20"/>
        </w:rPr>
        <w:t>, lequel englobe trois types de risque</w:t>
      </w:r>
      <w:r w:rsidR="00C92F6E">
        <w:rPr>
          <w:rFonts w:ascii="Arial" w:hAnsi="Arial" w:cs="Arial"/>
          <w:sz w:val="20"/>
          <w:szCs w:val="20"/>
        </w:rPr>
        <w:t xml:space="preserve"> </w:t>
      </w:r>
      <w:r w:rsidRPr="00E22C25">
        <w:rPr>
          <w:rFonts w:ascii="Arial" w:hAnsi="Arial" w:cs="Arial"/>
          <w:sz w:val="20"/>
          <w:szCs w:val="20"/>
        </w:rPr>
        <w:t>: le risque de crédit, le risque de marché (risque de pertes résultant des fluctuations des prix des instruments financiers) et le risque opérationnel [risque de pertes provenant de processus internes inadéquats ou défaillants, de personnes et systè</w:t>
      </w:r>
      <w:r w:rsidR="00C92F6E">
        <w:rPr>
          <w:rFonts w:ascii="Arial" w:hAnsi="Arial" w:cs="Arial"/>
          <w:sz w:val="20"/>
          <w:szCs w:val="20"/>
        </w:rPr>
        <w:t>mes ou d'évé</w:t>
      </w:r>
      <w:r w:rsidR="00ED785F">
        <w:rPr>
          <w:rFonts w:ascii="Arial" w:hAnsi="Arial" w:cs="Arial"/>
          <w:sz w:val="20"/>
          <w:szCs w:val="20"/>
        </w:rPr>
        <w:t>nements externes.</w:t>
      </w:r>
    </w:p>
    <w:p w:rsidR="0068251D" w:rsidRPr="00E22C25" w:rsidRDefault="0068251D" w:rsidP="00E22C25">
      <w:pPr>
        <w:spacing w:after="0"/>
        <w:jc w:val="both"/>
        <w:rPr>
          <w:rFonts w:ascii="Arial" w:hAnsi="Arial" w:cs="Arial"/>
          <w:sz w:val="20"/>
          <w:szCs w:val="20"/>
        </w:rPr>
      </w:pPr>
      <w:r w:rsidRPr="00E22C25">
        <w:rPr>
          <w:rFonts w:ascii="Arial" w:hAnsi="Arial" w:cs="Arial"/>
          <w:sz w:val="20"/>
          <w:szCs w:val="20"/>
        </w:rPr>
        <w:t xml:space="preserve">En 2010, pour tenir compte de la crise, les accords de </w:t>
      </w:r>
      <w:r w:rsidRPr="00E22C25">
        <w:rPr>
          <w:rFonts w:ascii="Arial" w:hAnsi="Arial" w:cs="Arial"/>
          <w:i/>
          <w:iCs/>
          <w:sz w:val="20"/>
          <w:szCs w:val="20"/>
        </w:rPr>
        <w:t>«</w:t>
      </w:r>
      <w:r w:rsidR="00C92F6E">
        <w:rPr>
          <w:rFonts w:ascii="Arial" w:hAnsi="Arial" w:cs="Arial"/>
          <w:i/>
          <w:iCs/>
          <w:sz w:val="20"/>
          <w:szCs w:val="20"/>
        </w:rPr>
        <w:t xml:space="preserve"> </w:t>
      </w:r>
      <w:r w:rsidRPr="00E22C25">
        <w:rPr>
          <w:rFonts w:ascii="Arial" w:hAnsi="Arial" w:cs="Arial"/>
          <w:i/>
          <w:iCs/>
          <w:sz w:val="20"/>
          <w:szCs w:val="20"/>
        </w:rPr>
        <w:t>Bâle III</w:t>
      </w:r>
      <w:r w:rsidR="00C92F6E">
        <w:rPr>
          <w:rFonts w:ascii="Arial" w:hAnsi="Arial" w:cs="Arial"/>
          <w:i/>
          <w:iCs/>
          <w:sz w:val="20"/>
          <w:szCs w:val="20"/>
        </w:rPr>
        <w:t xml:space="preserve"> </w:t>
      </w:r>
      <w:r w:rsidRPr="00E22C25">
        <w:rPr>
          <w:rFonts w:ascii="Arial" w:hAnsi="Arial" w:cs="Arial"/>
          <w:i/>
          <w:iCs/>
          <w:sz w:val="20"/>
          <w:szCs w:val="20"/>
        </w:rPr>
        <w:t xml:space="preserve">» </w:t>
      </w:r>
      <w:r w:rsidRPr="00E22C25">
        <w:rPr>
          <w:rFonts w:ascii="Arial" w:hAnsi="Arial" w:cs="Arial"/>
          <w:sz w:val="20"/>
          <w:szCs w:val="20"/>
        </w:rPr>
        <w:t>incorporent au ratio de solvabilité le risque de liquidité et le risque systémique en renforçant la qualité et la quantité de fonds propres des banques à hauteur d'environ 10,5</w:t>
      </w:r>
      <w:r w:rsidR="00C92F6E">
        <w:rPr>
          <w:rFonts w:ascii="Arial" w:hAnsi="Arial" w:cs="Arial"/>
          <w:sz w:val="20"/>
          <w:szCs w:val="20"/>
        </w:rPr>
        <w:t xml:space="preserve"> </w:t>
      </w:r>
      <w:r w:rsidRPr="00E22C25">
        <w:rPr>
          <w:rFonts w:ascii="Arial" w:hAnsi="Arial" w:cs="Arial"/>
          <w:sz w:val="20"/>
          <w:szCs w:val="20"/>
        </w:rPr>
        <w:t>% à échéance de 2019.</w:t>
      </w:r>
    </w:p>
    <w:p w:rsidR="00697A97" w:rsidRPr="00893E5D" w:rsidRDefault="00697A97" w:rsidP="00697A97">
      <w:pPr>
        <w:pStyle w:val="Style"/>
        <w:spacing w:before="62"/>
        <w:ind w:left="19" w:right="43"/>
        <w:jc w:val="both"/>
        <w:rPr>
          <w:w w:val="109"/>
          <w:sz w:val="8"/>
          <w:szCs w:val="8"/>
        </w:rPr>
      </w:pPr>
    </w:p>
    <w:p w:rsidR="00697A97" w:rsidRPr="00E22C25" w:rsidRDefault="00697A97" w:rsidP="00697A97">
      <w:pPr>
        <w:pStyle w:val="Style"/>
        <w:ind w:right="38"/>
        <w:jc w:val="both"/>
        <w:rPr>
          <w:w w:val="109"/>
          <w:sz w:val="20"/>
          <w:szCs w:val="20"/>
        </w:rPr>
      </w:pPr>
      <w:r>
        <w:rPr>
          <w:w w:val="109"/>
          <w:sz w:val="20"/>
          <w:szCs w:val="20"/>
        </w:rPr>
        <w:t>E. Le Héron</w:t>
      </w:r>
      <w:r w:rsidRPr="00E22C25">
        <w:rPr>
          <w:w w:val="109"/>
          <w:sz w:val="20"/>
          <w:szCs w:val="20"/>
        </w:rPr>
        <w:t xml:space="preserve">, </w:t>
      </w:r>
      <w:r w:rsidRPr="00E22C25">
        <w:rPr>
          <w:i/>
          <w:w w:val="109"/>
          <w:sz w:val="20"/>
          <w:szCs w:val="20"/>
        </w:rPr>
        <w:t>A quoi sert la Banque centrale européenne ?</w:t>
      </w:r>
      <w:r w:rsidRPr="00E22C25">
        <w:rPr>
          <w:w w:val="109"/>
          <w:sz w:val="20"/>
          <w:szCs w:val="20"/>
        </w:rPr>
        <w:t>, La documentation française 2016</w:t>
      </w:r>
    </w:p>
    <w:p w:rsidR="0068251D" w:rsidRDefault="0068251D" w:rsidP="00E22C25">
      <w:pPr>
        <w:jc w:val="both"/>
        <w:rPr>
          <w:rFonts w:ascii="Arial" w:hAnsi="Arial" w:cs="Arial"/>
          <w:sz w:val="20"/>
          <w:szCs w:val="20"/>
        </w:rPr>
      </w:pPr>
    </w:p>
    <w:p w:rsidR="0068251D" w:rsidRPr="00E22C25" w:rsidRDefault="00D033E1" w:rsidP="00E22C25">
      <w:pPr>
        <w:jc w:val="both"/>
        <w:rPr>
          <w:rFonts w:ascii="Arial" w:hAnsi="Arial" w:cs="Arial"/>
          <w:b/>
          <w:sz w:val="20"/>
          <w:szCs w:val="20"/>
          <w:u w:val="single"/>
        </w:rPr>
      </w:pPr>
      <w:r w:rsidRPr="00E22C25">
        <w:rPr>
          <w:rFonts w:ascii="Arial" w:hAnsi="Arial" w:cs="Arial"/>
          <w:b/>
          <w:sz w:val="20"/>
          <w:szCs w:val="20"/>
          <w:u w:val="single"/>
        </w:rPr>
        <w:t>Document </w:t>
      </w:r>
      <w:r w:rsidR="00E22C25" w:rsidRPr="00E22C25">
        <w:rPr>
          <w:rFonts w:ascii="Arial" w:hAnsi="Arial" w:cs="Arial"/>
          <w:b/>
          <w:sz w:val="20"/>
          <w:szCs w:val="20"/>
          <w:u w:val="single"/>
        </w:rPr>
        <w:t xml:space="preserve">2 </w:t>
      </w:r>
      <w:r w:rsidRPr="00E22C25">
        <w:rPr>
          <w:rFonts w:ascii="Arial" w:hAnsi="Arial" w:cs="Arial"/>
          <w:b/>
          <w:sz w:val="20"/>
          <w:szCs w:val="20"/>
          <w:u w:val="single"/>
        </w:rPr>
        <w:t>: la distinction entre surveillance microprudentielle et macroprudentielle</w:t>
      </w:r>
    </w:p>
    <w:p w:rsidR="00D033E1" w:rsidRPr="00E22C25" w:rsidRDefault="00D033E1" w:rsidP="00E22C25">
      <w:pPr>
        <w:spacing w:after="0"/>
        <w:jc w:val="both"/>
        <w:rPr>
          <w:rFonts w:ascii="Arial" w:hAnsi="Arial" w:cs="Arial"/>
          <w:sz w:val="20"/>
          <w:szCs w:val="20"/>
        </w:rPr>
      </w:pPr>
      <w:r w:rsidRPr="00E22C25">
        <w:rPr>
          <w:rFonts w:ascii="Arial" w:hAnsi="Arial" w:cs="Arial"/>
          <w:sz w:val="20"/>
          <w:szCs w:val="20"/>
        </w:rPr>
        <w:t>L'expérience des dernières années a mis en lumière l'importante distinction qu'il y a lieu de faire en</w:t>
      </w:r>
      <w:r w:rsidR="00C92F6E">
        <w:rPr>
          <w:rFonts w:ascii="Arial" w:hAnsi="Arial" w:cs="Arial"/>
          <w:sz w:val="20"/>
          <w:szCs w:val="20"/>
        </w:rPr>
        <w:t>tre la surveillance micropruden</w:t>
      </w:r>
      <w:r w:rsidRPr="00E22C25">
        <w:rPr>
          <w:rFonts w:ascii="Arial" w:hAnsi="Arial" w:cs="Arial"/>
          <w:sz w:val="20"/>
          <w:szCs w:val="20"/>
        </w:rPr>
        <w:t>tielle et la surveillance macroprudentielle. Elles sont étroitement liées, tant par leur nature que par leur fonctionnement. Elles sont toutes deux indispensables. […]</w:t>
      </w:r>
    </w:p>
    <w:p w:rsidR="00D033E1" w:rsidRPr="00E22C25" w:rsidRDefault="00D033E1" w:rsidP="00E22C25">
      <w:pPr>
        <w:spacing w:after="0"/>
        <w:jc w:val="both"/>
        <w:rPr>
          <w:rFonts w:ascii="Arial" w:hAnsi="Arial" w:cs="Arial"/>
          <w:sz w:val="20"/>
          <w:szCs w:val="20"/>
        </w:rPr>
      </w:pPr>
      <w:r w:rsidRPr="00E22C25">
        <w:rPr>
          <w:rFonts w:ascii="Arial" w:hAnsi="Arial" w:cs="Arial"/>
          <w:sz w:val="20"/>
          <w:szCs w:val="20"/>
        </w:rPr>
        <w:t>[Le] principal objectif [de la surveillance microprudentielle] est de surveiller la situation d'un établissement financier donné et de limiter ses difficultés, protégeant</w:t>
      </w:r>
      <w:r w:rsidR="00C92F6E">
        <w:rPr>
          <w:rFonts w:ascii="Arial" w:hAnsi="Arial" w:cs="Arial"/>
          <w:sz w:val="20"/>
          <w:szCs w:val="20"/>
        </w:rPr>
        <w:t xml:space="preserve"> ainsi les clients de l'établis</w:t>
      </w:r>
      <w:r w:rsidRPr="00E22C25">
        <w:rPr>
          <w:rFonts w:ascii="Arial" w:hAnsi="Arial" w:cs="Arial"/>
          <w:sz w:val="20"/>
          <w:szCs w:val="20"/>
        </w:rPr>
        <w:t>sement en question. […]</w:t>
      </w:r>
    </w:p>
    <w:p w:rsidR="00D033E1" w:rsidRPr="00E22C25" w:rsidRDefault="00C92F6E" w:rsidP="00E22C25">
      <w:pPr>
        <w:spacing w:after="0"/>
        <w:jc w:val="both"/>
        <w:rPr>
          <w:rFonts w:ascii="Arial" w:hAnsi="Arial" w:cs="Arial"/>
          <w:sz w:val="20"/>
          <w:szCs w:val="20"/>
        </w:rPr>
      </w:pPr>
      <w:r>
        <w:rPr>
          <w:rFonts w:ascii="Arial" w:hAnsi="Arial" w:cs="Arial"/>
          <w:sz w:val="20"/>
          <w:szCs w:val="20"/>
        </w:rPr>
        <w:t>L’</w:t>
      </w:r>
      <w:r w:rsidR="00D033E1" w:rsidRPr="00E22C25">
        <w:rPr>
          <w:rFonts w:ascii="Arial" w:hAnsi="Arial" w:cs="Arial"/>
          <w:sz w:val="20"/>
          <w:szCs w:val="20"/>
        </w:rPr>
        <w:t>objectif de la surveillance macroprudentielle est de limiter les difficultés du système financie</w:t>
      </w:r>
      <w:r>
        <w:rPr>
          <w:rFonts w:ascii="Arial" w:hAnsi="Arial" w:cs="Arial"/>
          <w:sz w:val="20"/>
          <w:szCs w:val="20"/>
        </w:rPr>
        <w:t>r dans son ensemble afin de pro</w:t>
      </w:r>
      <w:r w:rsidR="00D033E1" w:rsidRPr="00E22C25">
        <w:rPr>
          <w:rFonts w:ascii="Arial" w:hAnsi="Arial" w:cs="Arial"/>
          <w:sz w:val="20"/>
          <w:szCs w:val="20"/>
        </w:rPr>
        <w:t>téger l'économie générale de pertes importantes en termes de produit réel. Si la défaillance d'un seul établissement financier peut en théorie entraîner des risques pour le système financier si cet établissement occupe une place assez importante par rapport au pays concerné et/ou</w:t>
      </w:r>
      <w:r>
        <w:rPr>
          <w:rFonts w:ascii="Arial" w:hAnsi="Arial" w:cs="Arial"/>
          <w:sz w:val="20"/>
          <w:szCs w:val="20"/>
        </w:rPr>
        <w:t xml:space="preserve"> possède de multiples filiales/</w:t>
      </w:r>
      <w:r w:rsidR="00D033E1" w:rsidRPr="00E22C25">
        <w:rPr>
          <w:rFonts w:ascii="Arial" w:hAnsi="Arial" w:cs="Arial"/>
          <w:sz w:val="20"/>
          <w:szCs w:val="20"/>
        </w:rPr>
        <w:t>succursales dans d'autres pays, des risques systémiques mondiaux beaucoup plus importants résultent de l'exposition commune aux mêmes facteurs de risque de nombreu</w:t>
      </w:r>
      <w:r>
        <w:rPr>
          <w:rFonts w:ascii="Arial" w:hAnsi="Arial" w:cs="Arial"/>
          <w:sz w:val="20"/>
          <w:szCs w:val="20"/>
        </w:rPr>
        <w:t>x établissements financiers. L’</w:t>
      </w:r>
      <w:r w:rsidR="00D033E1" w:rsidRPr="00E22C25">
        <w:rPr>
          <w:rFonts w:ascii="Arial" w:hAnsi="Arial" w:cs="Arial"/>
          <w:sz w:val="20"/>
          <w:szCs w:val="20"/>
        </w:rPr>
        <w:t xml:space="preserve">analyse macroprudentielle doit donc accorder une attention particulière aux chocs communs ou corrélés et aux chocs </w:t>
      </w:r>
      <w:r>
        <w:rPr>
          <w:rFonts w:ascii="Arial" w:hAnsi="Arial" w:cs="Arial"/>
          <w:sz w:val="20"/>
          <w:szCs w:val="20"/>
        </w:rPr>
        <w:t>touchant les parties du système.</w:t>
      </w:r>
    </w:p>
    <w:p w:rsidR="00697A97" w:rsidRPr="00893E5D" w:rsidRDefault="00697A97" w:rsidP="00697A97">
      <w:pPr>
        <w:pStyle w:val="Style"/>
        <w:spacing w:before="62"/>
        <w:ind w:left="19" w:right="43"/>
        <w:jc w:val="both"/>
        <w:rPr>
          <w:w w:val="109"/>
          <w:sz w:val="8"/>
          <w:szCs w:val="8"/>
        </w:rPr>
      </w:pPr>
    </w:p>
    <w:p w:rsidR="00697A97" w:rsidRPr="00E22C25" w:rsidRDefault="00697A97" w:rsidP="00697A97">
      <w:pPr>
        <w:pStyle w:val="Style"/>
        <w:ind w:right="38"/>
        <w:jc w:val="both"/>
        <w:rPr>
          <w:w w:val="109"/>
          <w:sz w:val="20"/>
          <w:szCs w:val="20"/>
        </w:rPr>
      </w:pPr>
      <w:r>
        <w:rPr>
          <w:w w:val="109"/>
          <w:sz w:val="20"/>
          <w:szCs w:val="20"/>
        </w:rPr>
        <w:t>E. Le Héron</w:t>
      </w:r>
      <w:r w:rsidRPr="00E22C25">
        <w:rPr>
          <w:w w:val="109"/>
          <w:sz w:val="20"/>
          <w:szCs w:val="20"/>
        </w:rPr>
        <w:t xml:space="preserve">, </w:t>
      </w:r>
      <w:r w:rsidRPr="00E22C25">
        <w:rPr>
          <w:i/>
          <w:w w:val="109"/>
          <w:sz w:val="20"/>
          <w:szCs w:val="20"/>
        </w:rPr>
        <w:t>A quoi sert la Banque centrale européenne ?</w:t>
      </w:r>
      <w:r w:rsidRPr="00E22C25">
        <w:rPr>
          <w:w w:val="109"/>
          <w:sz w:val="20"/>
          <w:szCs w:val="20"/>
        </w:rPr>
        <w:t>, La documentation française 2016</w:t>
      </w:r>
    </w:p>
    <w:p w:rsidR="00D033E1" w:rsidRPr="00E22C25" w:rsidRDefault="00D033E1" w:rsidP="00E22C25">
      <w:pPr>
        <w:jc w:val="both"/>
        <w:rPr>
          <w:rFonts w:ascii="Arial" w:hAnsi="Arial" w:cs="Arial"/>
          <w:sz w:val="20"/>
          <w:szCs w:val="20"/>
        </w:rPr>
      </w:pPr>
    </w:p>
    <w:p w:rsidR="008443C7" w:rsidRPr="00E22C25" w:rsidRDefault="008443C7" w:rsidP="00E22C25">
      <w:pPr>
        <w:jc w:val="both"/>
        <w:rPr>
          <w:rFonts w:ascii="Arial" w:hAnsi="Arial" w:cs="Arial"/>
          <w:b/>
          <w:sz w:val="20"/>
          <w:szCs w:val="20"/>
          <w:u w:val="single"/>
        </w:rPr>
      </w:pPr>
      <w:r w:rsidRPr="00E22C25">
        <w:rPr>
          <w:rFonts w:ascii="Arial" w:hAnsi="Arial" w:cs="Arial"/>
          <w:b/>
          <w:sz w:val="20"/>
          <w:szCs w:val="20"/>
          <w:u w:val="single"/>
        </w:rPr>
        <w:t>Document </w:t>
      </w:r>
      <w:r w:rsidR="00E22C25" w:rsidRPr="00E22C25">
        <w:rPr>
          <w:rFonts w:ascii="Arial" w:hAnsi="Arial" w:cs="Arial"/>
          <w:b/>
          <w:sz w:val="20"/>
          <w:szCs w:val="20"/>
          <w:u w:val="single"/>
        </w:rPr>
        <w:t xml:space="preserve">3 </w:t>
      </w:r>
      <w:r w:rsidRPr="00E22C25">
        <w:rPr>
          <w:rFonts w:ascii="Arial" w:hAnsi="Arial" w:cs="Arial"/>
          <w:b/>
          <w:sz w:val="20"/>
          <w:szCs w:val="20"/>
          <w:u w:val="single"/>
        </w:rPr>
        <w:t>: le développement de la réglementation macroprudentielle</w:t>
      </w:r>
    </w:p>
    <w:p w:rsidR="00EF2860" w:rsidRPr="00E22C25" w:rsidRDefault="00EF2860" w:rsidP="00E22C25">
      <w:pPr>
        <w:jc w:val="both"/>
        <w:rPr>
          <w:rFonts w:ascii="Arial" w:hAnsi="Arial" w:cs="Arial"/>
          <w:sz w:val="20"/>
          <w:szCs w:val="20"/>
        </w:rPr>
      </w:pPr>
      <w:r w:rsidRPr="00E22C25">
        <w:rPr>
          <w:rFonts w:ascii="Arial" w:hAnsi="Arial" w:cs="Arial"/>
          <w:sz w:val="20"/>
          <w:szCs w:val="20"/>
        </w:rPr>
        <w:t>La crise financière a provoqué un revirement des gouvernements et des banques centrales, très fortement attachés, depuis l'automne 2008, à mieux maîtriser les sources d'instabilité fina</w:t>
      </w:r>
      <w:r w:rsidR="00893E5D">
        <w:rPr>
          <w:rFonts w:ascii="Arial" w:hAnsi="Arial" w:cs="Arial"/>
          <w:sz w:val="20"/>
          <w:szCs w:val="20"/>
        </w:rPr>
        <w:t xml:space="preserve">ncière et à éviter le </w:t>
      </w:r>
      <w:proofErr w:type="spellStart"/>
      <w:r w:rsidR="00893E5D">
        <w:rPr>
          <w:rFonts w:ascii="Arial" w:hAnsi="Arial" w:cs="Arial"/>
          <w:sz w:val="20"/>
          <w:szCs w:val="20"/>
        </w:rPr>
        <w:t>déclenchen</w:t>
      </w:r>
      <w:r w:rsidRPr="00E22C25">
        <w:rPr>
          <w:rFonts w:ascii="Arial" w:hAnsi="Arial" w:cs="Arial"/>
          <w:sz w:val="20"/>
          <w:szCs w:val="20"/>
        </w:rPr>
        <w:t>ment</w:t>
      </w:r>
      <w:proofErr w:type="spellEnd"/>
      <w:r w:rsidRPr="00E22C25">
        <w:rPr>
          <w:rFonts w:ascii="Arial" w:hAnsi="Arial" w:cs="Arial"/>
          <w:sz w:val="20"/>
          <w:szCs w:val="20"/>
        </w:rPr>
        <w:t xml:space="preserve"> de nouvelles crises systémiques. Leur action relève désormais du nouveau paradigme </w:t>
      </w:r>
      <w:proofErr w:type="spellStart"/>
      <w:r w:rsidRPr="00E22C25">
        <w:rPr>
          <w:rFonts w:ascii="Arial" w:hAnsi="Arial" w:cs="Arial"/>
          <w:sz w:val="20"/>
          <w:szCs w:val="20"/>
        </w:rPr>
        <w:t>macroprudentiel</w:t>
      </w:r>
      <w:proofErr w:type="spellEnd"/>
      <w:r w:rsidRPr="00E22C25">
        <w:rPr>
          <w:rFonts w:ascii="Arial" w:hAnsi="Arial" w:cs="Arial"/>
          <w:sz w:val="20"/>
          <w:szCs w:val="20"/>
        </w:rPr>
        <w:t xml:space="preserve">. </w:t>
      </w:r>
    </w:p>
    <w:p w:rsidR="008443C7" w:rsidRPr="00E22C25" w:rsidRDefault="00EF2860" w:rsidP="00E22C25">
      <w:pPr>
        <w:jc w:val="both"/>
        <w:rPr>
          <w:rFonts w:ascii="Arial" w:hAnsi="Arial" w:cs="Arial"/>
          <w:sz w:val="20"/>
          <w:szCs w:val="20"/>
        </w:rPr>
      </w:pPr>
      <w:r w:rsidRPr="00E22C25">
        <w:rPr>
          <w:rFonts w:ascii="Arial" w:hAnsi="Arial" w:cs="Arial"/>
          <w:sz w:val="20"/>
          <w:szCs w:val="20"/>
        </w:rPr>
        <w:t xml:space="preserve">D'abord, en ce qui concerne l'appréciation des risques qui pèsent sur les systèmes bancaires. La théorie économique standard du risque bancaire appréhendait celui-ci sur un plan microéconomique, en postulant sa séparabilité et en justifiant sa gestion au moyen d'une diversification des créances ou des engagements de chaque établissement bancaire. Mais les dispositifs de prévention de l'instabilité financière concernent </w:t>
      </w:r>
      <w:r w:rsidRPr="00E22C25">
        <w:rPr>
          <w:rFonts w:ascii="Arial" w:hAnsi="Arial" w:cs="Arial"/>
          <w:sz w:val="20"/>
          <w:szCs w:val="20"/>
        </w:rPr>
        <w:lastRenderedPageBreak/>
        <w:t>des éco</w:t>
      </w:r>
      <w:r w:rsidRPr="00E22C25">
        <w:rPr>
          <w:rFonts w:ascii="Arial" w:hAnsi="Arial" w:cs="Arial"/>
          <w:sz w:val="20"/>
          <w:szCs w:val="20"/>
        </w:rPr>
        <w:softHyphen/>
        <w:t>nomies qui ne sont pas composées d'une juxtaposition de risques individuels</w:t>
      </w:r>
      <w:r w:rsidR="000C7E63">
        <w:rPr>
          <w:rFonts w:ascii="Arial" w:hAnsi="Arial" w:cs="Arial"/>
          <w:sz w:val="20"/>
          <w:szCs w:val="20"/>
        </w:rPr>
        <w:t>,</w:t>
      </w:r>
      <w:r w:rsidRPr="00E22C25">
        <w:rPr>
          <w:rFonts w:ascii="Arial" w:hAnsi="Arial" w:cs="Arial"/>
          <w:sz w:val="20"/>
          <w:szCs w:val="20"/>
        </w:rPr>
        <w:t xml:space="preserve"> mais d'une combinaison et d'un enchevêtrement d'externalités et d'interdépendances.</w:t>
      </w:r>
    </w:p>
    <w:p w:rsidR="00EF2860" w:rsidRPr="00E22C25" w:rsidRDefault="00EF2860" w:rsidP="00E22C25">
      <w:pPr>
        <w:jc w:val="both"/>
        <w:rPr>
          <w:rFonts w:ascii="Arial" w:hAnsi="Arial" w:cs="Arial"/>
          <w:sz w:val="20"/>
          <w:szCs w:val="20"/>
        </w:rPr>
      </w:pPr>
      <w:r w:rsidRPr="00E22C25">
        <w:rPr>
          <w:rFonts w:ascii="Arial" w:hAnsi="Arial" w:cs="Arial"/>
          <w:sz w:val="20"/>
          <w:szCs w:val="20"/>
        </w:rPr>
        <w:t>En un mot, le risque d'instabilité financière est de caractère systémique. Ensuite, si elle vise la préven</w:t>
      </w:r>
      <w:r w:rsidRPr="00E22C25">
        <w:rPr>
          <w:rFonts w:ascii="Arial" w:hAnsi="Arial" w:cs="Arial"/>
          <w:sz w:val="20"/>
          <w:szCs w:val="20"/>
        </w:rPr>
        <w:softHyphen/>
        <w:t>tion de l'ensemble des risques associés aux activités financières des banques, la réglementation prudentielle se doit de répondre à deux objectifs distincts. Elle doit contribuer à la sécurité de chaque intermédiaire ban</w:t>
      </w:r>
      <w:r w:rsidRPr="00E22C25">
        <w:rPr>
          <w:rFonts w:ascii="Arial" w:hAnsi="Arial" w:cs="Arial"/>
          <w:sz w:val="20"/>
          <w:szCs w:val="20"/>
        </w:rPr>
        <w:softHyphen/>
        <w:t>caire afin de protéger les déposants ou les actionnaires, face à d'éventuelles défaillances individuelles. Telle est la fonction visée par les dispositifs prudentiels traditionnels, qualifiés de micropruden</w:t>
      </w:r>
      <w:r w:rsidR="00ED785F">
        <w:rPr>
          <w:rFonts w:ascii="Arial" w:hAnsi="Arial" w:cs="Arial"/>
          <w:sz w:val="20"/>
          <w:szCs w:val="20"/>
        </w:rPr>
        <w:t>tiels, comme Bâle 1 ou Bâle 2</w:t>
      </w:r>
      <w:r w:rsidRPr="00E22C25">
        <w:rPr>
          <w:rFonts w:ascii="Arial" w:hAnsi="Arial" w:cs="Arial"/>
          <w:sz w:val="20"/>
          <w:szCs w:val="20"/>
        </w:rPr>
        <w:t>. Mais la réglementation bancaire doit également stabiliser le système monétaire et financier dans sa dimension globale, compte tenu de ses fonc</w:t>
      </w:r>
      <w:r w:rsidRPr="00E22C25">
        <w:rPr>
          <w:rFonts w:ascii="Arial" w:hAnsi="Arial" w:cs="Arial"/>
          <w:sz w:val="20"/>
          <w:szCs w:val="20"/>
        </w:rPr>
        <w:softHyphen/>
        <w:t xml:space="preserve">tions macroéconomiques, et, donc, contenir le risque systémique. Car le risque de défaut d'une institution financière dépend non seulement de l'agrégation de ses propres risques microéconomiques, mais également du cycle macroéconomique, de l'état de confiance et de la situation des autres intermédiaires financiers. En ce sens, la finalité d'une approche macroprudentielle est non seulement d'assurer la stabilité et la continuité des échanges au sein de la sphère financière, mais aussi de limiter le risque qu'une détresse financière induise des pertes significatives en termes </w:t>
      </w:r>
      <w:r w:rsidRPr="00E22C25">
        <w:rPr>
          <w:rFonts w:ascii="Arial" w:hAnsi="Arial" w:cs="Arial"/>
          <w:i/>
          <w:iCs/>
          <w:sz w:val="20"/>
          <w:szCs w:val="20"/>
        </w:rPr>
        <w:t xml:space="preserve">d'output </w:t>
      </w:r>
      <w:r w:rsidRPr="00E22C25">
        <w:rPr>
          <w:rFonts w:ascii="Arial" w:hAnsi="Arial" w:cs="Arial"/>
          <w:sz w:val="20"/>
          <w:szCs w:val="20"/>
        </w:rPr>
        <w:t>réel. Celle d'une approche microprudentielle est uniquement de limiter le risque de détresse financiè</w:t>
      </w:r>
      <w:r w:rsidR="00893E5D">
        <w:rPr>
          <w:rFonts w:ascii="Arial" w:hAnsi="Arial" w:cs="Arial"/>
          <w:sz w:val="20"/>
          <w:szCs w:val="20"/>
        </w:rPr>
        <w:t>re pour des institutions indivi</w:t>
      </w:r>
      <w:r w:rsidRPr="00E22C25">
        <w:rPr>
          <w:rFonts w:ascii="Arial" w:hAnsi="Arial" w:cs="Arial"/>
          <w:sz w:val="20"/>
          <w:szCs w:val="20"/>
        </w:rPr>
        <w:t xml:space="preserve">duelles, indépendamment de leur impact sur le reste de l'économie. Or, les ratios de solvabilité ou d'adéquation des fonds propres des banques répondaient jusqu'ici à la première fonction et n'étaient pas en mesure de contraindre les processus </w:t>
      </w:r>
      <w:proofErr w:type="spellStart"/>
      <w:r w:rsidRPr="00E22C25">
        <w:rPr>
          <w:rFonts w:ascii="Arial" w:hAnsi="Arial" w:cs="Arial"/>
          <w:sz w:val="20"/>
          <w:szCs w:val="20"/>
        </w:rPr>
        <w:t>procycliques</w:t>
      </w:r>
      <w:proofErr w:type="spellEnd"/>
      <w:r w:rsidRPr="00E22C25">
        <w:rPr>
          <w:rFonts w:ascii="Arial" w:hAnsi="Arial" w:cs="Arial"/>
          <w:sz w:val="20"/>
          <w:szCs w:val="20"/>
        </w:rPr>
        <w:t xml:space="preserve"> et déstabilisants. La consolidation des systèmes financiers dans une perspective macroprudentielle doit donc répondre à deux sources principales d'instabilité: la tendance à l'excès de prise de risque en phase haute du cycle; la sous-estimation des effets de contagion à l'intérieur même du réseau que constitue un système financier. Cela s'explique à la fois par des imperfections de marché (problèmes d'incitations, frictions informationnelles, myopie face au désastre ... ) et, surtout, par un ensemble de canaux de propagation des chocs de liquidité ou de solvabilité qui recouvrent deux mécanismes de base: le recours à des niveaux d'endettement excessifs dans les relations interbancaires et des transformations d'échéances déraisonnables, liés notamment à la très forte progression des financements de marchés et des flux interbancaires, surtout depuis 2002. À chaque source de fragilité ou de détresse bancaire doit alors correspondre une réponse réglementaire. </w:t>
      </w:r>
    </w:p>
    <w:p w:rsidR="00EF2860" w:rsidRPr="00E22C25" w:rsidRDefault="00EF2860" w:rsidP="00E22C25">
      <w:pPr>
        <w:jc w:val="both"/>
        <w:rPr>
          <w:rFonts w:ascii="Arial" w:hAnsi="Arial" w:cs="Arial"/>
          <w:sz w:val="20"/>
          <w:szCs w:val="20"/>
        </w:rPr>
      </w:pPr>
      <w:r w:rsidRPr="00E22C25">
        <w:rPr>
          <w:rFonts w:ascii="Arial" w:hAnsi="Arial" w:cs="Arial"/>
          <w:sz w:val="20"/>
          <w:szCs w:val="20"/>
        </w:rPr>
        <w:t>Telle est l'ambition du nouveau dispositif prudentiel, dénommé Bâle 3, que de prévenir les risques systé</w:t>
      </w:r>
      <w:r w:rsidRPr="00E22C25">
        <w:rPr>
          <w:rFonts w:ascii="Arial" w:hAnsi="Arial" w:cs="Arial"/>
          <w:sz w:val="20"/>
          <w:szCs w:val="20"/>
        </w:rPr>
        <w:softHyphen/>
        <w:t xml:space="preserve">miques. Ce nouveau standard a été approuvé fin 2010 par les membres du G20, mais le calendrier de son application s'étend jusqu'en 2019. Si la volonté politique de sa mise en œuvre se maintient, ce </w:t>
      </w:r>
      <w:r w:rsidRPr="00E22C25">
        <w:rPr>
          <w:rFonts w:ascii="Arial" w:hAnsi="Arial" w:cs="Arial"/>
          <w:i/>
          <w:iCs/>
          <w:sz w:val="20"/>
          <w:szCs w:val="20"/>
        </w:rPr>
        <w:t xml:space="preserve">package </w:t>
      </w:r>
      <w:r w:rsidRPr="00E22C25">
        <w:rPr>
          <w:rFonts w:ascii="Arial" w:hAnsi="Arial" w:cs="Arial"/>
          <w:sz w:val="20"/>
          <w:szCs w:val="20"/>
        </w:rPr>
        <w:t>prudentiel qu'est Bâle 3 comprendra un ensemble d'innovations réglementaires visant les objectifs suivants: améliorer le volume et la qualité des fonds propres afin que les banques puissent mieux résister à une baisse non-anti</w:t>
      </w:r>
      <w:r w:rsidRPr="00E22C25">
        <w:rPr>
          <w:rFonts w:ascii="Arial" w:hAnsi="Arial" w:cs="Arial"/>
          <w:sz w:val="20"/>
          <w:szCs w:val="20"/>
        </w:rPr>
        <w:softHyphen/>
        <w:t>cipée de la valeur de leurs actifs; prévenir les situations d'</w:t>
      </w:r>
      <w:proofErr w:type="spellStart"/>
      <w:r w:rsidRPr="00E22C25">
        <w:rPr>
          <w:rFonts w:ascii="Arial" w:hAnsi="Arial" w:cs="Arial"/>
          <w:sz w:val="20"/>
          <w:szCs w:val="20"/>
        </w:rPr>
        <w:t>illiquidité</w:t>
      </w:r>
      <w:proofErr w:type="spellEnd"/>
      <w:r w:rsidRPr="00E22C25">
        <w:rPr>
          <w:rFonts w:ascii="Arial" w:hAnsi="Arial" w:cs="Arial"/>
          <w:sz w:val="20"/>
          <w:szCs w:val="20"/>
        </w:rPr>
        <w:t xml:space="preserve"> en limitant la transformation d'échéances et le recours aux financements interbancaires à court terme, au moyen de la création de deux nouveaux ratios de liquidité; mieux prendre en compte les expositions aux risques liés aux produits dérivés, aux prises en pensions, aux prêts de titres et au développement des structures de titrisation figurant au hors-bilan; com</w:t>
      </w:r>
      <w:r w:rsidRPr="00E22C25">
        <w:rPr>
          <w:rFonts w:ascii="Arial" w:hAnsi="Arial" w:cs="Arial"/>
          <w:sz w:val="20"/>
          <w:szCs w:val="20"/>
        </w:rPr>
        <w:softHyphen/>
        <w:t xml:space="preserve">pléter les exigences de fonds propres pondérées par les risques, comme dans le </w:t>
      </w:r>
      <w:r w:rsidRPr="00E22C25">
        <w:rPr>
          <w:rFonts w:ascii="Arial" w:hAnsi="Arial" w:cs="Arial"/>
          <w:i/>
          <w:iCs/>
          <w:sz w:val="20"/>
          <w:szCs w:val="20"/>
        </w:rPr>
        <w:t xml:space="preserve">Pilier l </w:t>
      </w:r>
      <w:r w:rsidRPr="00E22C25">
        <w:rPr>
          <w:rFonts w:ascii="Arial" w:hAnsi="Arial" w:cs="Arial"/>
          <w:sz w:val="20"/>
          <w:szCs w:val="20"/>
        </w:rPr>
        <w:t xml:space="preserve">de </w:t>
      </w:r>
      <w:r w:rsidRPr="00E22C25">
        <w:rPr>
          <w:rFonts w:ascii="Arial" w:hAnsi="Arial" w:cs="Arial"/>
          <w:i/>
          <w:iCs/>
          <w:sz w:val="20"/>
          <w:szCs w:val="20"/>
        </w:rPr>
        <w:t xml:space="preserve">Bâle </w:t>
      </w:r>
      <w:r w:rsidRPr="00E22C25">
        <w:rPr>
          <w:rFonts w:ascii="Arial" w:hAnsi="Arial" w:cs="Arial"/>
          <w:sz w:val="20"/>
          <w:szCs w:val="20"/>
        </w:rPr>
        <w:t xml:space="preserve">2, au moyen d'un autre dispositif, le ratio de levier; et mettre en place des volants </w:t>
      </w:r>
      <w:proofErr w:type="spellStart"/>
      <w:r w:rsidRPr="00E22C25">
        <w:rPr>
          <w:rFonts w:ascii="Arial" w:hAnsi="Arial" w:cs="Arial"/>
          <w:sz w:val="20"/>
          <w:szCs w:val="20"/>
        </w:rPr>
        <w:t>contracycliques</w:t>
      </w:r>
      <w:proofErr w:type="spellEnd"/>
      <w:r w:rsidRPr="00E22C25">
        <w:rPr>
          <w:rFonts w:ascii="Arial" w:hAnsi="Arial" w:cs="Arial"/>
          <w:sz w:val="20"/>
          <w:szCs w:val="20"/>
        </w:rPr>
        <w:t xml:space="preserve"> de fonds propres en présence d'un </w:t>
      </w:r>
      <w:r w:rsidRPr="00E22C25">
        <w:rPr>
          <w:rFonts w:ascii="Arial" w:hAnsi="Arial" w:cs="Arial"/>
          <w:i/>
          <w:iCs/>
          <w:sz w:val="20"/>
          <w:szCs w:val="20"/>
        </w:rPr>
        <w:t xml:space="preserve">boom </w:t>
      </w:r>
      <w:r w:rsidR="00757659">
        <w:rPr>
          <w:rFonts w:ascii="Arial" w:hAnsi="Arial" w:cs="Arial"/>
          <w:sz w:val="20"/>
          <w:szCs w:val="20"/>
        </w:rPr>
        <w:t>du crédit</w:t>
      </w:r>
      <w:r w:rsidRPr="00E22C25">
        <w:rPr>
          <w:rFonts w:ascii="Arial" w:hAnsi="Arial" w:cs="Arial"/>
          <w:sz w:val="20"/>
          <w:szCs w:val="20"/>
        </w:rPr>
        <w:t xml:space="preserve">. </w:t>
      </w:r>
    </w:p>
    <w:p w:rsidR="007315B8" w:rsidRPr="00E22C25" w:rsidRDefault="00EF2860" w:rsidP="00E22C25">
      <w:pPr>
        <w:jc w:val="both"/>
        <w:rPr>
          <w:rFonts w:ascii="Arial" w:hAnsi="Arial" w:cs="Arial"/>
          <w:sz w:val="20"/>
          <w:szCs w:val="20"/>
        </w:rPr>
      </w:pPr>
      <w:r w:rsidRPr="00E22C25">
        <w:rPr>
          <w:rFonts w:ascii="Arial" w:hAnsi="Arial" w:cs="Arial"/>
          <w:sz w:val="20"/>
          <w:szCs w:val="20"/>
        </w:rPr>
        <w:t xml:space="preserve">Depuis la crise financière, il est donc question d'un </w:t>
      </w:r>
      <w:r w:rsidRPr="00E22C25">
        <w:rPr>
          <w:rFonts w:ascii="Arial" w:hAnsi="Arial" w:cs="Arial"/>
          <w:i/>
          <w:iCs/>
          <w:sz w:val="20"/>
          <w:szCs w:val="20"/>
        </w:rPr>
        <w:t xml:space="preserve">new central </w:t>
      </w:r>
      <w:proofErr w:type="spellStart"/>
      <w:r w:rsidRPr="00E22C25">
        <w:rPr>
          <w:rFonts w:ascii="Arial" w:hAnsi="Arial" w:cs="Arial"/>
          <w:i/>
          <w:iCs/>
          <w:sz w:val="20"/>
          <w:szCs w:val="20"/>
        </w:rPr>
        <w:t>banking</w:t>
      </w:r>
      <w:proofErr w:type="spellEnd"/>
      <w:r w:rsidRPr="00E22C25">
        <w:rPr>
          <w:rFonts w:ascii="Arial" w:hAnsi="Arial" w:cs="Arial"/>
          <w:i/>
          <w:iCs/>
          <w:sz w:val="20"/>
          <w:szCs w:val="20"/>
        </w:rPr>
        <w:t xml:space="preserve">, </w:t>
      </w:r>
      <w:r w:rsidRPr="00E22C25">
        <w:rPr>
          <w:rFonts w:ascii="Arial" w:hAnsi="Arial" w:cs="Arial"/>
          <w:sz w:val="20"/>
          <w:szCs w:val="20"/>
        </w:rPr>
        <w:t>autant sous l'angle des objectifs de la politique monétaire qu'en ce qui concerne la place à accorder aux politiques macroprudentielles. Si la sta</w:t>
      </w:r>
      <w:r w:rsidRPr="00E22C25">
        <w:rPr>
          <w:rFonts w:ascii="Arial" w:hAnsi="Arial" w:cs="Arial"/>
          <w:sz w:val="20"/>
          <w:szCs w:val="20"/>
        </w:rPr>
        <w:softHyphen/>
        <w:t xml:space="preserve">bilité des prix et de </w:t>
      </w:r>
      <w:r w:rsidRPr="00E22C25">
        <w:rPr>
          <w:rFonts w:ascii="Arial" w:hAnsi="Arial" w:cs="Arial"/>
          <w:i/>
          <w:iCs/>
          <w:sz w:val="20"/>
          <w:szCs w:val="20"/>
        </w:rPr>
        <w:t xml:space="preserve">l'output </w:t>
      </w:r>
      <w:r w:rsidRPr="00E22C25">
        <w:rPr>
          <w:rFonts w:ascii="Arial" w:hAnsi="Arial" w:cs="Arial"/>
          <w:sz w:val="20"/>
          <w:szCs w:val="20"/>
        </w:rPr>
        <w:t xml:space="preserve">reste l'objectif final de la politique monétaire, la stabilité financière ne peut plus être considérée comme une dimension négligeable de </w:t>
      </w:r>
      <w:r w:rsidR="007315B8" w:rsidRPr="00E22C25">
        <w:rPr>
          <w:rFonts w:ascii="Arial" w:hAnsi="Arial" w:cs="Arial"/>
          <w:sz w:val="20"/>
          <w:szCs w:val="20"/>
        </w:rPr>
        <w:t>la stabilité macroéconomique. « Prêtres défroqués de la religion de la stabilit</w:t>
      </w:r>
      <w:r w:rsidR="00757659">
        <w:rPr>
          <w:rFonts w:ascii="Arial" w:hAnsi="Arial" w:cs="Arial"/>
          <w:sz w:val="20"/>
          <w:szCs w:val="20"/>
        </w:rPr>
        <w:t>é des prix », selon l'expression</w:t>
      </w:r>
      <w:r w:rsidR="007315B8" w:rsidRPr="00E22C25">
        <w:rPr>
          <w:rFonts w:ascii="Arial" w:hAnsi="Arial" w:cs="Arial"/>
          <w:sz w:val="20"/>
          <w:szCs w:val="20"/>
        </w:rPr>
        <w:t xml:space="preserve"> de Martin Wolf, le chroniqueur du </w:t>
      </w:r>
      <w:r w:rsidR="007315B8" w:rsidRPr="00E22C25">
        <w:rPr>
          <w:rFonts w:ascii="Arial" w:hAnsi="Arial" w:cs="Arial"/>
          <w:i/>
          <w:iCs/>
          <w:sz w:val="20"/>
          <w:szCs w:val="20"/>
        </w:rPr>
        <w:t xml:space="preserve">Financial Times. </w:t>
      </w:r>
      <w:r w:rsidR="00ED785F">
        <w:rPr>
          <w:rFonts w:ascii="Arial" w:hAnsi="Arial" w:cs="Arial"/>
          <w:iCs/>
          <w:sz w:val="20"/>
          <w:szCs w:val="20"/>
        </w:rPr>
        <w:t>Les</w:t>
      </w:r>
      <w:r w:rsidR="007315B8" w:rsidRPr="00E22C25">
        <w:rPr>
          <w:rFonts w:ascii="Arial" w:hAnsi="Arial" w:cs="Arial"/>
          <w:i/>
          <w:iCs/>
          <w:sz w:val="20"/>
          <w:szCs w:val="20"/>
        </w:rPr>
        <w:t xml:space="preserve"> </w:t>
      </w:r>
      <w:r w:rsidR="007315B8" w:rsidRPr="00E22C25">
        <w:rPr>
          <w:rFonts w:ascii="Arial" w:hAnsi="Arial" w:cs="Arial"/>
          <w:sz w:val="20"/>
          <w:szCs w:val="20"/>
        </w:rPr>
        <w:t xml:space="preserve">banques centrales se doivent aujourd'hui d'assurer à </w:t>
      </w:r>
      <w:r w:rsidR="000C7E63">
        <w:rPr>
          <w:rFonts w:ascii="Arial" w:hAnsi="Arial" w:cs="Arial"/>
          <w:sz w:val="20"/>
          <w:szCs w:val="20"/>
        </w:rPr>
        <w:t>la</w:t>
      </w:r>
      <w:r w:rsidR="007315B8" w:rsidRPr="00E22C25">
        <w:rPr>
          <w:rFonts w:ascii="Arial" w:hAnsi="Arial" w:cs="Arial"/>
          <w:sz w:val="20"/>
          <w:szCs w:val="20"/>
        </w:rPr>
        <w:t xml:space="preserve"> fois la maîtrise de l'inflation, la supervision bancaire et la responsabilité des mécanismes de résolution de, faillites bancaires; tel sera le cas de la BCE dans le cadre de l'union bancaire européenne. </w:t>
      </w:r>
    </w:p>
    <w:p w:rsidR="00EF2860" w:rsidRPr="00E22C25" w:rsidRDefault="007315B8" w:rsidP="00697A97">
      <w:pPr>
        <w:ind w:left="709"/>
        <w:jc w:val="right"/>
        <w:rPr>
          <w:rFonts w:ascii="Arial" w:hAnsi="Arial" w:cs="Arial"/>
          <w:sz w:val="20"/>
          <w:szCs w:val="20"/>
        </w:rPr>
      </w:pPr>
      <w:r w:rsidRPr="00E22C25">
        <w:rPr>
          <w:rFonts w:ascii="Arial" w:hAnsi="Arial" w:cs="Arial"/>
          <w:sz w:val="20"/>
          <w:szCs w:val="20"/>
        </w:rPr>
        <w:t xml:space="preserve">A. </w:t>
      </w:r>
      <w:proofErr w:type="spellStart"/>
      <w:r w:rsidRPr="00E22C25">
        <w:rPr>
          <w:rFonts w:ascii="Arial" w:hAnsi="Arial" w:cs="Arial"/>
          <w:sz w:val="20"/>
          <w:szCs w:val="20"/>
        </w:rPr>
        <w:t>Cartapanis</w:t>
      </w:r>
      <w:proofErr w:type="spellEnd"/>
      <w:r w:rsidRPr="00E22C25">
        <w:rPr>
          <w:rFonts w:ascii="Arial" w:hAnsi="Arial" w:cs="Arial"/>
          <w:sz w:val="20"/>
          <w:szCs w:val="20"/>
        </w:rPr>
        <w:t xml:space="preserve">, </w:t>
      </w:r>
      <w:r w:rsidRPr="00E22C25">
        <w:rPr>
          <w:rFonts w:ascii="Arial" w:hAnsi="Arial" w:cs="Arial"/>
          <w:i/>
          <w:sz w:val="20"/>
          <w:szCs w:val="20"/>
        </w:rPr>
        <w:t xml:space="preserve">La finance et l’avant-crise : un </w:t>
      </w:r>
      <w:r w:rsidR="00893E5D" w:rsidRPr="00E22C25">
        <w:rPr>
          <w:rFonts w:ascii="Arial" w:hAnsi="Arial" w:cs="Arial"/>
          <w:i/>
          <w:sz w:val="20"/>
          <w:szCs w:val="20"/>
        </w:rPr>
        <w:t>aveuglement</w:t>
      </w:r>
      <w:r w:rsidRPr="00E22C25">
        <w:rPr>
          <w:rFonts w:ascii="Arial" w:hAnsi="Arial" w:cs="Arial"/>
          <w:i/>
          <w:sz w:val="20"/>
          <w:szCs w:val="20"/>
        </w:rPr>
        <w:t xml:space="preserve"> face au désastre</w:t>
      </w:r>
      <w:r w:rsidRPr="00E22C25">
        <w:rPr>
          <w:rFonts w:ascii="Arial" w:hAnsi="Arial" w:cs="Arial"/>
          <w:sz w:val="20"/>
          <w:szCs w:val="20"/>
        </w:rPr>
        <w:t xml:space="preserve">, in </w:t>
      </w:r>
      <w:r w:rsidRPr="00E22C25">
        <w:rPr>
          <w:rFonts w:ascii="Arial" w:hAnsi="Arial" w:cs="Arial"/>
          <w:i/>
          <w:sz w:val="20"/>
          <w:szCs w:val="20"/>
        </w:rPr>
        <w:t>La finance mise au pas</w:t>
      </w:r>
      <w:r w:rsidRPr="00E22C25">
        <w:rPr>
          <w:rFonts w:ascii="Arial" w:hAnsi="Arial" w:cs="Arial"/>
          <w:sz w:val="20"/>
          <w:szCs w:val="20"/>
        </w:rPr>
        <w:t>, Cahier Français 375, 07-08/13</w:t>
      </w:r>
    </w:p>
    <w:p w:rsidR="00E22C25" w:rsidRDefault="00E22C25" w:rsidP="00E22C25">
      <w:pPr>
        <w:jc w:val="both"/>
        <w:rPr>
          <w:rFonts w:ascii="Arial" w:hAnsi="Arial" w:cs="Arial"/>
          <w:sz w:val="20"/>
          <w:szCs w:val="20"/>
        </w:rPr>
      </w:pPr>
    </w:p>
    <w:p w:rsidR="00B71208" w:rsidRDefault="00B71208" w:rsidP="00E22C25">
      <w:pPr>
        <w:jc w:val="both"/>
        <w:rPr>
          <w:rFonts w:ascii="Arial" w:hAnsi="Arial" w:cs="Arial"/>
          <w:sz w:val="20"/>
          <w:szCs w:val="20"/>
        </w:rPr>
      </w:pPr>
    </w:p>
    <w:p w:rsidR="007315B8" w:rsidRPr="00E22C25" w:rsidRDefault="007315B8" w:rsidP="00E22C25">
      <w:pPr>
        <w:jc w:val="both"/>
        <w:rPr>
          <w:rFonts w:ascii="Arial" w:hAnsi="Arial" w:cs="Arial"/>
          <w:b/>
          <w:sz w:val="20"/>
          <w:szCs w:val="20"/>
          <w:u w:val="single"/>
        </w:rPr>
      </w:pPr>
      <w:r w:rsidRPr="00E22C25">
        <w:rPr>
          <w:rFonts w:ascii="Arial" w:hAnsi="Arial" w:cs="Arial"/>
          <w:b/>
          <w:sz w:val="20"/>
          <w:szCs w:val="20"/>
          <w:u w:val="single"/>
        </w:rPr>
        <w:lastRenderedPageBreak/>
        <w:t>Document</w:t>
      </w:r>
      <w:r w:rsidR="00E22C25" w:rsidRPr="00E22C25">
        <w:rPr>
          <w:rFonts w:ascii="Arial" w:hAnsi="Arial" w:cs="Arial"/>
          <w:b/>
          <w:sz w:val="20"/>
          <w:szCs w:val="20"/>
          <w:u w:val="single"/>
        </w:rPr>
        <w:t xml:space="preserve"> 4</w:t>
      </w:r>
      <w:r w:rsidRPr="00E22C25">
        <w:rPr>
          <w:rFonts w:ascii="Arial" w:hAnsi="Arial" w:cs="Arial"/>
          <w:b/>
          <w:sz w:val="20"/>
          <w:szCs w:val="20"/>
          <w:u w:val="single"/>
        </w:rPr>
        <w:t>: l’esprit des accords de Bâle</w:t>
      </w:r>
    </w:p>
    <w:p w:rsidR="007315B8" w:rsidRPr="00E22C25" w:rsidRDefault="007315B8" w:rsidP="00E22C25">
      <w:pPr>
        <w:jc w:val="both"/>
        <w:rPr>
          <w:rFonts w:ascii="Arial" w:hAnsi="Arial" w:cs="Arial"/>
          <w:b/>
          <w:bCs/>
          <w:sz w:val="20"/>
          <w:szCs w:val="20"/>
        </w:rPr>
      </w:pPr>
      <w:r w:rsidRPr="00E22C25">
        <w:rPr>
          <w:rFonts w:ascii="Arial" w:hAnsi="Arial" w:cs="Arial"/>
          <w:b/>
          <w:bCs/>
          <w:sz w:val="20"/>
          <w:szCs w:val="20"/>
        </w:rPr>
        <w:t xml:space="preserve">Pourquoi réglementer les banques? </w:t>
      </w:r>
    </w:p>
    <w:p w:rsidR="007315B8" w:rsidRPr="00E22C25" w:rsidRDefault="007315B8" w:rsidP="00E22C25">
      <w:pPr>
        <w:jc w:val="both"/>
        <w:rPr>
          <w:rFonts w:ascii="Arial" w:hAnsi="Arial" w:cs="Arial"/>
          <w:sz w:val="20"/>
          <w:szCs w:val="20"/>
        </w:rPr>
      </w:pPr>
      <w:r w:rsidRPr="00E22C25">
        <w:rPr>
          <w:rFonts w:ascii="Arial" w:hAnsi="Arial" w:cs="Arial"/>
          <w:sz w:val="20"/>
          <w:szCs w:val="20"/>
        </w:rPr>
        <w:t>Une banque n'est pas une entreprise comme les autres. D'une part, elle investit l'argent de ses clients qui ne sont guère en capacité de lui imposer qu'elle le gère dans leur intérêt plus que dans le sien. D'autre part, la faillite d'une banque entraîne pour la collectivité des coûts bien supérieurs à ceux de n'importe quelle autre faillite d'entreprise. La difficulté d'une banque a vite fait de s'étendre à d'autres puisque toutes sont liées financièrement sur le marché interbancaire. Par contagion, une faillite bancaire peut ainsi s'étendre à l'ensemble du secteur et devenir une crise systémique. De plus, le dérèglement ou pire l'interruption des services bancaires sont très paralysants pour l'économie: sans moyens de paiements et sans financement, les échanges ne peuvent plus se dérouler normalement. Le régulateur doit autant veiller à la protection des déposants qu'aux problèmes d'externalités qui viennent d'être mentionnés. La réglementa</w:t>
      </w:r>
      <w:r w:rsidRPr="00E22C25">
        <w:rPr>
          <w:rFonts w:ascii="Arial" w:hAnsi="Arial" w:cs="Arial"/>
          <w:sz w:val="20"/>
          <w:szCs w:val="20"/>
        </w:rPr>
        <w:softHyphen/>
        <w:t xml:space="preserve">tion des banques répond à ces deux objectifs et les exigences de fonds propres en sont devenues l'instrument principal. </w:t>
      </w:r>
    </w:p>
    <w:p w:rsidR="007315B8" w:rsidRPr="00E22C25" w:rsidRDefault="007315B8" w:rsidP="00E22C25">
      <w:pPr>
        <w:jc w:val="both"/>
        <w:rPr>
          <w:rFonts w:ascii="Arial" w:hAnsi="Arial" w:cs="Arial"/>
          <w:b/>
          <w:bCs/>
          <w:sz w:val="20"/>
          <w:szCs w:val="20"/>
        </w:rPr>
      </w:pPr>
      <w:r w:rsidRPr="00E22C25">
        <w:rPr>
          <w:rFonts w:ascii="Arial" w:hAnsi="Arial" w:cs="Arial"/>
          <w:b/>
          <w:bCs/>
          <w:sz w:val="20"/>
          <w:szCs w:val="20"/>
        </w:rPr>
        <w:t xml:space="preserve">Risque de crédit, risques de marché et risque opérationnel </w:t>
      </w:r>
    </w:p>
    <w:p w:rsidR="007315B8" w:rsidRPr="00E22C25" w:rsidRDefault="007315B8" w:rsidP="00E22C25">
      <w:pPr>
        <w:jc w:val="both"/>
        <w:rPr>
          <w:rFonts w:ascii="Arial" w:hAnsi="Arial" w:cs="Arial"/>
          <w:sz w:val="20"/>
          <w:szCs w:val="20"/>
        </w:rPr>
      </w:pPr>
      <w:r w:rsidRPr="00E22C25">
        <w:rPr>
          <w:rFonts w:ascii="Arial" w:hAnsi="Arial" w:cs="Arial"/>
          <w:sz w:val="20"/>
          <w:szCs w:val="20"/>
        </w:rPr>
        <w:t>Le comité de Bâle s'est en tout premier lieu préoccupé du risque de crédit. C'est le risque auquel la banque s'expose quand elle octroie un crédit. Si l'emprunteur fait défaut, la banque subit une perte. Pour absorber cette perte sans risquer elle-même de faire défaut vis-à-vis de ses créanciers, la banque doit disposer d'un capital suffisant. Exiger des banques qu'elles détiennent un montant de fonds propres proportionnel aux risques qu'elles prennent est une mesure qui permet donc de réduire le risque d'insolvabilité de la banque. La réglementation des fonds propres oblige les banques à déte</w:t>
      </w:r>
      <w:r w:rsidRPr="00E22C25">
        <w:rPr>
          <w:rFonts w:ascii="Arial" w:hAnsi="Arial" w:cs="Arial"/>
          <w:sz w:val="20"/>
          <w:szCs w:val="20"/>
        </w:rPr>
        <w:softHyphen/>
        <w:t xml:space="preserve">nir plus de fonds propres qu'elles ne s'y contraindraient par elles-mêmes. </w:t>
      </w:r>
    </w:p>
    <w:p w:rsidR="007315B8" w:rsidRPr="00E22C25" w:rsidRDefault="007315B8" w:rsidP="00E22C25">
      <w:pPr>
        <w:jc w:val="both"/>
        <w:rPr>
          <w:rFonts w:ascii="Arial" w:hAnsi="Arial" w:cs="Arial"/>
          <w:sz w:val="20"/>
          <w:szCs w:val="20"/>
        </w:rPr>
      </w:pPr>
      <w:r w:rsidRPr="00E22C25">
        <w:rPr>
          <w:rFonts w:ascii="Arial" w:hAnsi="Arial" w:cs="Arial"/>
          <w:sz w:val="20"/>
          <w:szCs w:val="20"/>
        </w:rPr>
        <w:t xml:space="preserve">Les premiers accords de Bâle en 1988 ont recommandé l'adoption du ratio Cooke : un rapport d'au moins 8 % entre les fonds propres et les actifs exposés au risque de crédit (en pondérant ces actifs par le risque). </w:t>
      </w:r>
    </w:p>
    <w:p w:rsidR="007315B8" w:rsidRPr="00E22C25" w:rsidRDefault="007315B8" w:rsidP="00E22C25">
      <w:pPr>
        <w:jc w:val="both"/>
        <w:rPr>
          <w:rFonts w:ascii="Arial" w:hAnsi="Arial" w:cs="Arial"/>
          <w:sz w:val="20"/>
          <w:szCs w:val="20"/>
        </w:rPr>
      </w:pPr>
      <w:r w:rsidRPr="00E22C25">
        <w:rPr>
          <w:rFonts w:ascii="Arial" w:hAnsi="Arial" w:cs="Arial"/>
          <w:sz w:val="20"/>
          <w:szCs w:val="20"/>
        </w:rPr>
        <w:t>L'activité risquée des banques ne se réduit cependant pas aux crédits accordés. De plus en plus actives sur les marchés de titres et de produits dérivés depuis le début des années 1990, les banques sont au</w:t>
      </w:r>
      <w:r w:rsidR="00893E5D">
        <w:rPr>
          <w:rFonts w:ascii="Arial" w:hAnsi="Arial" w:cs="Arial"/>
          <w:sz w:val="20"/>
          <w:szCs w:val="20"/>
        </w:rPr>
        <w:t>ssi exposées aux risques de mar</w:t>
      </w:r>
      <w:r w:rsidRPr="00E22C25">
        <w:rPr>
          <w:rFonts w:ascii="Arial" w:hAnsi="Arial" w:cs="Arial"/>
          <w:sz w:val="20"/>
          <w:szCs w:val="20"/>
        </w:rPr>
        <w:t>ché (risque de variations du cours des titres détenus, risqu</w:t>
      </w:r>
      <w:r w:rsidR="00893E5D">
        <w:rPr>
          <w:rFonts w:ascii="Arial" w:hAnsi="Arial" w:cs="Arial"/>
          <w:sz w:val="20"/>
          <w:szCs w:val="20"/>
        </w:rPr>
        <w:t>e de taux, risque de change...</w:t>
      </w:r>
      <w:r w:rsidRPr="00E22C25">
        <w:rPr>
          <w:rFonts w:ascii="Arial" w:hAnsi="Arial" w:cs="Arial"/>
          <w:sz w:val="20"/>
          <w:szCs w:val="20"/>
        </w:rPr>
        <w:t>). Quant à l'incorporation des avancées technologiques dans les services bancaires, elle a renforcé le risque opérationnel (risque de panne informa</w:t>
      </w:r>
      <w:r w:rsidRPr="00E22C25">
        <w:rPr>
          <w:rFonts w:ascii="Arial" w:hAnsi="Arial" w:cs="Arial"/>
          <w:sz w:val="20"/>
          <w:szCs w:val="20"/>
        </w:rPr>
        <w:softHyphen/>
        <w:t>tique, de défaut de procédure, d'erreur humaine, de fraude, etc.)</w:t>
      </w:r>
      <w:r w:rsidR="000C7E63">
        <w:rPr>
          <w:rFonts w:ascii="Arial" w:hAnsi="Arial" w:cs="Arial"/>
          <w:sz w:val="20"/>
          <w:szCs w:val="20"/>
        </w:rPr>
        <w:t>.</w:t>
      </w:r>
      <w:r w:rsidRPr="00E22C25">
        <w:rPr>
          <w:rFonts w:ascii="Arial" w:hAnsi="Arial" w:cs="Arial"/>
          <w:sz w:val="20"/>
          <w:szCs w:val="20"/>
        </w:rPr>
        <w:t xml:space="preserve"> L'exigence de fonds propres a donc dû être étendue, d'abord aux risques de marché, puis au risque opérationnel avec les accords de Bâle 2. </w:t>
      </w:r>
    </w:p>
    <w:p w:rsidR="007315B8" w:rsidRPr="00E22C25" w:rsidRDefault="007315B8" w:rsidP="00E22C25">
      <w:pPr>
        <w:jc w:val="both"/>
        <w:rPr>
          <w:rFonts w:ascii="Arial" w:hAnsi="Arial" w:cs="Arial"/>
          <w:b/>
          <w:bCs/>
          <w:sz w:val="20"/>
          <w:szCs w:val="20"/>
        </w:rPr>
      </w:pPr>
      <w:r w:rsidRPr="00E22C25">
        <w:rPr>
          <w:rFonts w:ascii="Arial" w:hAnsi="Arial" w:cs="Arial"/>
          <w:b/>
          <w:bCs/>
          <w:sz w:val="20"/>
          <w:szCs w:val="20"/>
        </w:rPr>
        <w:t xml:space="preserve">Une organisation en trois « piliers» </w:t>
      </w:r>
    </w:p>
    <w:p w:rsidR="007315B8" w:rsidRPr="00E22C25" w:rsidRDefault="007315B8" w:rsidP="00E22C25">
      <w:pPr>
        <w:jc w:val="both"/>
        <w:rPr>
          <w:rFonts w:ascii="Arial" w:hAnsi="Arial" w:cs="Arial"/>
          <w:sz w:val="20"/>
          <w:szCs w:val="20"/>
        </w:rPr>
      </w:pPr>
      <w:r w:rsidRPr="00E22C25">
        <w:rPr>
          <w:rFonts w:ascii="Arial" w:hAnsi="Arial" w:cs="Arial"/>
          <w:sz w:val="20"/>
          <w:szCs w:val="20"/>
        </w:rPr>
        <w:t xml:space="preserve">Trois piliers ont dès lors été définis: un pilier « exigences </w:t>
      </w:r>
      <w:r w:rsidR="001F28D0">
        <w:rPr>
          <w:rFonts w:ascii="Arial" w:hAnsi="Arial" w:cs="Arial"/>
          <w:sz w:val="20"/>
          <w:szCs w:val="20"/>
        </w:rPr>
        <w:t>minimales de fonds propres »</w:t>
      </w:r>
      <w:r w:rsidRPr="00E22C25">
        <w:rPr>
          <w:rFonts w:ascii="Arial" w:hAnsi="Arial" w:cs="Arial"/>
          <w:sz w:val="20"/>
          <w:szCs w:val="20"/>
        </w:rPr>
        <w:t xml:space="preserve"> (maintenue à 8 % pour couvrir le</w:t>
      </w:r>
      <w:r w:rsidR="001F28D0">
        <w:rPr>
          <w:rFonts w:ascii="Arial" w:hAnsi="Arial" w:cs="Arial"/>
          <w:sz w:val="20"/>
          <w:szCs w:val="20"/>
        </w:rPr>
        <w:t xml:space="preserve">s trois catégories de risques - </w:t>
      </w:r>
      <w:r w:rsidRPr="00E22C25">
        <w:rPr>
          <w:rFonts w:ascii="Arial" w:hAnsi="Arial" w:cs="Arial"/>
          <w:sz w:val="20"/>
          <w:szCs w:val="20"/>
        </w:rPr>
        <w:t>risque de crédit, risque de marché et ri</w:t>
      </w:r>
      <w:r w:rsidR="001F28D0">
        <w:rPr>
          <w:rFonts w:ascii="Arial" w:hAnsi="Arial" w:cs="Arial"/>
          <w:sz w:val="20"/>
          <w:szCs w:val="20"/>
        </w:rPr>
        <w:t>sque opérationnel), un pilier</w:t>
      </w:r>
      <w:r w:rsidRPr="00E22C25">
        <w:rPr>
          <w:rFonts w:ascii="Arial" w:hAnsi="Arial" w:cs="Arial"/>
          <w:sz w:val="20"/>
          <w:szCs w:val="20"/>
        </w:rPr>
        <w:t xml:space="preserve"> </w:t>
      </w:r>
      <w:r w:rsidR="001F28D0">
        <w:rPr>
          <w:rFonts w:ascii="Arial" w:hAnsi="Arial" w:cs="Arial"/>
          <w:sz w:val="20"/>
          <w:szCs w:val="20"/>
        </w:rPr>
        <w:t>« surveillance pru</w:t>
      </w:r>
      <w:r w:rsidR="001F28D0">
        <w:rPr>
          <w:rFonts w:ascii="Arial" w:hAnsi="Arial" w:cs="Arial"/>
          <w:sz w:val="20"/>
          <w:szCs w:val="20"/>
        </w:rPr>
        <w:softHyphen/>
        <w:t xml:space="preserve">dentielle » </w:t>
      </w:r>
      <w:r w:rsidRPr="00E22C25">
        <w:rPr>
          <w:rFonts w:ascii="Arial" w:hAnsi="Arial" w:cs="Arial"/>
          <w:sz w:val="20"/>
          <w:szCs w:val="20"/>
        </w:rPr>
        <w:t xml:space="preserve">permettant aux superviseurs, s'ils le jugent nécessaire, d'exiger </w:t>
      </w:r>
      <w:r w:rsidR="001F28D0">
        <w:rPr>
          <w:rFonts w:ascii="Arial" w:hAnsi="Arial" w:cs="Arial"/>
          <w:sz w:val="20"/>
          <w:szCs w:val="20"/>
        </w:rPr>
        <w:t xml:space="preserve">plus que la norme, un pilier « discipline de marché » </w:t>
      </w:r>
      <w:r w:rsidRPr="00E22C25">
        <w:rPr>
          <w:rFonts w:ascii="Arial" w:hAnsi="Arial" w:cs="Arial"/>
          <w:sz w:val="20"/>
          <w:szCs w:val="20"/>
        </w:rPr>
        <w:t>exigeant de la transparence et de la communication d'informations. Les accords de Bâle 2 ont aussi donné aux banques le choix entre une approche réglementaire standard et une approche dite avancée les autorisant, sous cer</w:t>
      </w:r>
      <w:r w:rsidRPr="00E22C25">
        <w:rPr>
          <w:rFonts w:ascii="Arial" w:hAnsi="Arial" w:cs="Arial"/>
          <w:sz w:val="20"/>
          <w:szCs w:val="20"/>
        </w:rPr>
        <w:softHyphen/>
        <w:t>taines conditions, à utiliser leurs modèles internes d'évaluation des risques, ce qui a permis à certaines d'entre elles de réduire sensiblement la charge en fonds propres. Les accords de Bâle 3 ont toutefois rapidement emboîté le pas du fait de la crise. Ils rehaussent en quantité et en qualité l'exigence de fonds propres, introduisent également un simple ratio de fonds propres non pondéré par les risques (ratio de levier) et deux ratios de liquidité pour éviter aux banques de suc</w:t>
      </w:r>
      <w:r w:rsidRPr="00E22C25">
        <w:rPr>
          <w:rFonts w:ascii="Arial" w:hAnsi="Arial" w:cs="Arial"/>
          <w:sz w:val="20"/>
          <w:szCs w:val="20"/>
        </w:rPr>
        <w:softHyphen/>
        <w:t xml:space="preserve">comber à une rupture subite de liquidité. </w:t>
      </w:r>
    </w:p>
    <w:p w:rsidR="007315B8" w:rsidRPr="00E22C25" w:rsidRDefault="007315B8" w:rsidP="00E22C25">
      <w:pPr>
        <w:ind w:left="567"/>
        <w:jc w:val="both"/>
        <w:rPr>
          <w:rFonts w:ascii="Arial" w:hAnsi="Arial" w:cs="Arial"/>
          <w:sz w:val="20"/>
          <w:szCs w:val="20"/>
        </w:rPr>
      </w:pPr>
      <w:r w:rsidRPr="00E22C25">
        <w:rPr>
          <w:rFonts w:ascii="Arial" w:hAnsi="Arial" w:cs="Arial"/>
          <w:sz w:val="20"/>
          <w:szCs w:val="20"/>
        </w:rPr>
        <w:t xml:space="preserve">J. </w:t>
      </w:r>
      <w:proofErr w:type="spellStart"/>
      <w:r w:rsidRPr="00E22C25">
        <w:rPr>
          <w:rFonts w:ascii="Arial" w:hAnsi="Arial" w:cs="Arial"/>
          <w:sz w:val="20"/>
          <w:szCs w:val="20"/>
        </w:rPr>
        <w:t>Couppey-Soubeyran</w:t>
      </w:r>
      <w:proofErr w:type="spellEnd"/>
      <w:r w:rsidRPr="00E22C25">
        <w:rPr>
          <w:rFonts w:ascii="Arial" w:hAnsi="Arial" w:cs="Arial"/>
          <w:sz w:val="20"/>
          <w:szCs w:val="20"/>
        </w:rPr>
        <w:t xml:space="preserve">, </w:t>
      </w:r>
      <w:r w:rsidRPr="00E22C25">
        <w:rPr>
          <w:rFonts w:ascii="Arial" w:hAnsi="Arial" w:cs="Arial"/>
          <w:i/>
          <w:sz w:val="20"/>
          <w:szCs w:val="20"/>
        </w:rPr>
        <w:t>De Bâle 2 à Bâle 3 : la nouvelle réglementation bancaire internationale,</w:t>
      </w:r>
      <w:r w:rsidRPr="00E22C25">
        <w:rPr>
          <w:rFonts w:ascii="Arial" w:hAnsi="Arial" w:cs="Arial"/>
          <w:sz w:val="20"/>
          <w:szCs w:val="20"/>
        </w:rPr>
        <w:t xml:space="preserve"> in </w:t>
      </w:r>
      <w:r w:rsidRPr="00E22C25">
        <w:rPr>
          <w:rFonts w:ascii="Arial" w:hAnsi="Arial" w:cs="Arial"/>
          <w:i/>
          <w:sz w:val="20"/>
          <w:szCs w:val="20"/>
        </w:rPr>
        <w:t>La finance mise au pas ?</w:t>
      </w:r>
      <w:r w:rsidRPr="00E22C25">
        <w:rPr>
          <w:rFonts w:ascii="Arial" w:hAnsi="Arial" w:cs="Arial"/>
          <w:sz w:val="20"/>
          <w:szCs w:val="20"/>
        </w:rPr>
        <w:t>, Cahier français 375, La documentation Française 2013</w:t>
      </w:r>
    </w:p>
    <w:p w:rsidR="00CB4656" w:rsidRDefault="00CB4656" w:rsidP="00E22C25">
      <w:pPr>
        <w:jc w:val="both"/>
        <w:rPr>
          <w:rFonts w:ascii="Arial" w:hAnsi="Arial" w:cs="Arial"/>
          <w:b/>
          <w:sz w:val="20"/>
          <w:szCs w:val="20"/>
          <w:u w:val="single"/>
        </w:rPr>
      </w:pPr>
    </w:p>
    <w:p w:rsidR="00B71208" w:rsidRDefault="00B71208" w:rsidP="00E22C25">
      <w:pPr>
        <w:jc w:val="both"/>
        <w:rPr>
          <w:rFonts w:ascii="Arial" w:hAnsi="Arial" w:cs="Arial"/>
          <w:b/>
          <w:sz w:val="20"/>
          <w:szCs w:val="20"/>
          <w:u w:val="single"/>
        </w:rPr>
      </w:pPr>
    </w:p>
    <w:p w:rsidR="00B71208" w:rsidRDefault="00B71208" w:rsidP="00E22C25">
      <w:pPr>
        <w:jc w:val="both"/>
        <w:rPr>
          <w:rFonts w:ascii="Arial" w:hAnsi="Arial" w:cs="Arial"/>
          <w:b/>
          <w:sz w:val="20"/>
          <w:szCs w:val="20"/>
          <w:u w:val="single"/>
        </w:rPr>
      </w:pPr>
    </w:p>
    <w:p w:rsidR="00E22C25" w:rsidRDefault="00A77CE5" w:rsidP="00E22C25">
      <w:pPr>
        <w:jc w:val="both"/>
        <w:rPr>
          <w:rFonts w:ascii="Arial" w:hAnsi="Arial" w:cs="Arial"/>
          <w:b/>
          <w:sz w:val="20"/>
          <w:szCs w:val="20"/>
          <w:u w:val="single"/>
        </w:rPr>
      </w:pPr>
      <w:r>
        <w:rPr>
          <w:rFonts w:ascii="Arial" w:hAnsi="Arial" w:cs="Arial"/>
          <w:b/>
          <w:sz w:val="20"/>
          <w:szCs w:val="20"/>
          <w:u w:val="single"/>
        </w:rPr>
        <w:lastRenderedPageBreak/>
        <w:t>Document </w:t>
      </w:r>
      <w:r w:rsidR="00CB4656">
        <w:rPr>
          <w:rFonts w:ascii="Arial" w:hAnsi="Arial" w:cs="Arial"/>
          <w:b/>
          <w:sz w:val="20"/>
          <w:szCs w:val="20"/>
          <w:u w:val="single"/>
        </w:rPr>
        <w:t xml:space="preserve">5 </w:t>
      </w:r>
      <w:r>
        <w:rPr>
          <w:rFonts w:ascii="Arial" w:hAnsi="Arial" w:cs="Arial"/>
          <w:b/>
          <w:sz w:val="20"/>
          <w:szCs w:val="20"/>
          <w:u w:val="single"/>
        </w:rPr>
        <w:t xml:space="preserve">: </w:t>
      </w:r>
      <w:r w:rsidR="00AE565E">
        <w:rPr>
          <w:rFonts w:ascii="Arial" w:hAnsi="Arial" w:cs="Arial"/>
          <w:b/>
          <w:sz w:val="20"/>
          <w:szCs w:val="20"/>
          <w:u w:val="single"/>
        </w:rPr>
        <w:t>de Bâle I à Bâle III</w:t>
      </w:r>
    </w:p>
    <w:p w:rsidR="00AE565E" w:rsidRDefault="00AE565E" w:rsidP="00E22C25">
      <w:pPr>
        <w:jc w:val="both"/>
        <w:rPr>
          <w:rFonts w:ascii="Arial" w:hAnsi="Arial" w:cs="Arial"/>
          <w:b/>
          <w:sz w:val="20"/>
          <w:szCs w:val="20"/>
          <w:u w:val="single"/>
        </w:rPr>
      </w:pPr>
      <w:r>
        <w:rPr>
          <w:noProof/>
          <w:lang w:eastAsia="fr-FR"/>
        </w:rPr>
        <w:drawing>
          <wp:inline distT="0" distB="0" distL="0" distR="0" wp14:anchorId="2B3ED539" wp14:editId="7066D42C">
            <wp:extent cx="5760720" cy="3310301"/>
            <wp:effectExtent l="0" t="0" r="0" b="44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310301"/>
                    </a:xfrm>
                    <a:prstGeom prst="rect">
                      <a:avLst/>
                    </a:prstGeom>
                  </pic:spPr>
                </pic:pic>
              </a:graphicData>
            </a:graphic>
          </wp:inline>
        </w:drawing>
      </w:r>
    </w:p>
    <w:p w:rsidR="00AE565E" w:rsidRPr="00AE565E" w:rsidRDefault="00AE565E" w:rsidP="00AE565E">
      <w:pPr>
        <w:ind w:left="567"/>
        <w:jc w:val="both"/>
        <w:rPr>
          <w:rFonts w:ascii="Arial" w:hAnsi="Arial" w:cs="Arial"/>
          <w:sz w:val="20"/>
          <w:szCs w:val="20"/>
        </w:rPr>
      </w:pPr>
      <w:r w:rsidRPr="00AE565E">
        <w:rPr>
          <w:rFonts w:ascii="Arial" w:hAnsi="Arial" w:cs="Arial"/>
          <w:sz w:val="20"/>
          <w:szCs w:val="20"/>
        </w:rPr>
        <w:t xml:space="preserve">Source : Diaporama Banque de France – Centre Val de Loire – </w:t>
      </w:r>
      <w:r w:rsidR="00893E5D">
        <w:rPr>
          <w:rFonts w:ascii="Arial" w:hAnsi="Arial" w:cs="Arial"/>
          <w:sz w:val="20"/>
          <w:szCs w:val="20"/>
        </w:rPr>
        <w:t>Intervention auprès des enseignants Convention Rectorat/Banque de France,</w:t>
      </w:r>
      <w:r w:rsidRPr="00AE565E">
        <w:rPr>
          <w:rFonts w:ascii="Arial" w:hAnsi="Arial" w:cs="Arial"/>
          <w:sz w:val="20"/>
          <w:szCs w:val="20"/>
        </w:rPr>
        <w:t>12 mai 2015</w:t>
      </w:r>
    </w:p>
    <w:p w:rsidR="00AE565E" w:rsidRDefault="00AE565E" w:rsidP="00E22C25">
      <w:pPr>
        <w:jc w:val="both"/>
        <w:rPr>
          <w:rFonts w:ascii="Arial" w:hAnsi="Arial" w:cs="Arial"/>
          <w:b/>
          <w:sz w:val="20"/>
          <w:szCs w:val="20"/>
          <w:u w:val="single"/>
        </w:rPr>
      </w:pPr>
    </w:p>
    <w:p w:rsidR="008D1C54" w:rsidRPr="00E22C25" w:rsidRDefault="008D1C54" w:rsidP="00E22C25">
      <w:pPr>
        <w:jc w:val="both"/>
        <w:rPr>
          <w:rFonts w:ascii="Arial" w:hAnsi="Arial" w:cs="Arial"/>
          <w:b/>
          <w:sz w:val="20"/>
          <w:szCs w:val="20"/>
          <w:u w:val="single"/>
        </w:rPr>
      </w:pPr>
      <w:r w:rsidRPr="00E22C25">
        <w:rPr>
          <w:rFonts w:ascii="Arial" w:hAnsi="Arial" w:cs="Arial"/>
          <w:b/>
          <w:sz w:val="20"/>
          <w:szCs w:val="20"/>
          <w:u w:val="single"/>
        </w:rPr>
        <w:t>Document </w:t>
      </w:r>
      <w:r w:rsidR="00CB4656">
        <w:rPr>
          <w:rFonts w:ascii="Arial" w:hAnsi="Arial" w:cs="Arial"/>
          <w:b/>
          <w:sz w:val="20"/>
          <w:szCs w:val="20"/>
          <w:u w:val="single"/>
        </w:rPr>
        <w:t xml:space="preserve">6 </w:t>
      </w:r>
      <w:r w:rsidRPr="00E22C25">
        <w:rPr>
          <w:rFonts w:ascii="Arial" w:hAnsi="Arial" w:cs="Arial"/>
          <w:b/>
          <w:sz w:val="20"/>
          <w:szCs w:val="20"/>
          <w:u w:val="single"/>
        </w:rPr>
        <w:t>:</w:t>
      </w:r>
      <w:r w:rsidR="002A7C48" w:rsidRPr="00E22C25">
        <w:rPr>
          <w:rFonts w:ascii="Arial" w:hAnsi="Arial" w:cs="Arial"/>
          <w:b/>
          <w:sz w:val="20"/>
          <w:szCs w:val="20"/>
          <w:u w:val="single"/>
        </w:rPr>
        <w:t xml:space="preserve"> Les</w:t>
      </w:r>
      <w:r w:rsidRPr="00E22C25">
        <w:rPr>
          <w:rFonts w:ascii="Arial" w:hAnsi="Arial" w:cs="Arial"/>
          <w:b/>
          <w:sz w:val="20"/>
          <w:szCs w:val="20"/>
          <w:u w:val="single"/>
        </w:rPr>
        <w:t xml:space="preserve"> instruments </w:t>
      </w:r>
      <w:r w:rsidR="002A7C48" w:rsidRPr="00E22C25">
        <w:rPr>
          <w:rFonts w:ascii="Arial" w:hAnsi="Arial" w:cs="Arial"/>
          <w:b/>
          <w:sz w:val="20"/>
          <w:szCs w:val="20"/>
          <w:u w:val="single"/>
        </w:rPr>
        <w:t xml:space="preserve">contra-cyclique de la règlementation </w:t>
      </w:r>
      <w:r w:rsidRPr="00E22C25">
        <w:rPr>
          <w:rFonts w:ascii="Arial" w:hAnsi="Arial" w:cs="Arial"/>
          <w:b/>
          <w:sz w:val="20"/>
          <w:szCs w:val="20"/>
          <w:u w:val="single"/>
        </w:rPr>
        <w:t>macro-prudentiel</w:t>
      </w:r>
      <w:r w:rsidR="002A7C48" w:rsidRPr="00E22C25">
        <w:rPr>
          <w:rFonts w:ascii="Arial" w:hAnsi="Arial" w:cs="Arial"/>
          <w:b/>
          <w:sz w:val="20"/>
          <w:szCs w:val="20"/>
          <w:u w:val="single"/>
        </w:rPr>
        <w:t>le</w:t>
      </w:r>
      <w:r w:rsidR="00A11511">
        <w:rPr>
          <w:rFonts w:ascii="Arial" w:hAnsi="Arial" w:cs="Arial"/>
          <w:b/>
          <w:sz w:val="20"/>
          <w:szCs w:val="20"/>
          <w:u w:val="single"/>
        </w:rPr>
        <w:t>.</w:t>
      </w:r>
      <w:r w:rsidRPr="00E22C25">
        <w:rPr>
          <w:rFonts w:ascii="Arial" w:hAnsi="Arial" w:cs="Arial"/>
          <w:b/>
          <w:sz w:val="20"/>
          <w:szCs w:val="20"/>
          <w:u w:val="single"/>
        </w:rPr>
        <w:t xml:space="preserve"> </w:t>
      </w:r>
    </w:p>
    <w:p w:rsidR="008D1C54" w:rsidRPr="00E22C25" w:rsidRDefault="008D1C54" w:rsidP="00E22C25">
      <w:pPr>
        <w:jc w:val="both"/>
        <w:rPr>
          <w:rFonts w:ascii="Arial" w:hAnsi="Arial" w:cs="Arial"/>
          <w:sz w:val="20"/>
          <w:szCs w:val="20"/>
        </w:rPr>
      </w:pPr>
      <w:r w:rsidRPr="00E22C25">
        <w:rPr>
          <w:rFonts w:ascii="Arial" w:hAnsi="Arial" w:cs="Arial"/>
          <w:sz w:val="20"/>
          <w:szCs w:val="20"/>
        </w:rPr>
        <w:t>Cependant, si l’ajustement des taux d’intérêt officiels est voué à demeurer l’instrument dédié à l’objectif de stabilité des prix, alors il y a lieu de se demander comment les banques centrales procéderont pour maintenir la discipline financière nécessaire au maintien de la stabilité des prix, maintenant que cette mission revêt une telle importance. À présent, les pouvoirs de la plupart des banques centrales dans ce domaine se limitent à « faire des sermons et organiser des funérailles » (King</w:t>
      </w:r>
      <w:r w:rsidR="002A7C48" w:rsidRPr="00E22C25">
        <w:rPr>
          <w:rFonts w:ascii="Arial" w:hAnsi="Arial" w:cs="Arial"/>
          <w:sz w:val="20"/>
          <w:szCs w:val="20"/>
        </w:rPr>
        <w:t>, 2009). La réflexion porte dé</w:t>
      </w:r>
      <w:r w:rsidRPr="00E22C25">
        <w:rPr>
          <w:rFonts w:ascii="Arial" w:hAnsi="Arial" w:cs="Arial"/>
          <w:sz w:val="20"/>
          <w:szCs w:val="20"/>
        </w:rPr>
        <w:t>sormais (au moins dans les centres de recherche) sur un second (éventail d’) instrument(s) contra-cyclique(s) macro-prudentiel(s) susceptible(s) d’être utilisé(s) par les banques centrales en plus et indépendamment des taux d’intérêt officiels. Cela permettrait d’appliquer le principe de Tinbergen, selon lequel il doit y avoir autant d’instruments que d’objectifs. Reste à déterminer quelle forme ces instruments macro-prudentiels peuvent revêtir.</w:t>
      </w:r>
    </w:p>
    <w:p w:rsidR="008D1C54" w:rsidRPr="00E22C25" w:rsidRDefault="008D1C54" w:rsidP="00893E5D">
      <w:pPr>
        <w:spacing w:after="60"/>
        <w:jc w:val="both"/>
        <w:rPr>
          <w:rFonts w:ascii="Arial" w:hAnsi="Arial" w:cs="Arial"/>
          <w:sz w:val="20"/>
          <w:szCs w:val="20"/>
        </w:rPr>
      </w:pPr>
      <w:r w:rsidRPr="00E22C25">
        <w:rPr>
          <w:rFonts w:ascii="Arial" w:hAnsi="Arial" w:cs="Arial"/>
          <w:i/>
          <w:sz w:val="20"/>
          <w:szCs w:val="20"/>
        </w:rPr>
        <w:t>Ratios de fonds propres</w:t>
      </w:r>
    </w:p>
    <w:p w:rsidR="008D1C54" w:rsidRPr="00E22C25" w:rsidRDefault="002A7C48" w:rsidP="004F29C7">
      <w:pPr>
        <w:spacing w:after="0"/>
        <w:jc w:val="both"/>
        <w:rPr>
          <w:rFonts w:ascii="Arial" w:hAnsi="Arial" w:cs="Arial"/>
          <w:sz w:val="20"/>
          <w:szCs w:val="20"/>
        </w:rPr>
      </w:pPr>
      <w:r w:rsidRPr="00E22C25">
        <w:rPr>
          <w:rFonts w:ascii="Arial" w:hAnsi="Arial" w:cs="Arial"/>
          <w:sz w:val="20"/>
          <w:szCs w:val="20"/>
        </w:rPr>
        <w:t>La gestion des risques est une mission complexe à divers titres. Connu sous le nom de Bâle I, l’accord du Comité de Bâle sur le contrôle bancaire (CBCB) sur les fonds propres de 1988 ne portait que sur le risque de crédit. Il a par la suite été étendu au risque de marché, qui comprend le risque de taux d’intérêt, de liquidité, etc., dans les portefeuilles de négociation des banques. […]</w:t>
      </w:r>
    </w:p>
    <w:p w:rsidR="002A7C48" w:rsidRPr="00E22C25" w:rsidRDefault="002A7C48" w:rsidP="00E22C25">
      <w:pPr>
        <w:jc w:val="both"/>
        <w:rPr>
          <w:rFonts w:ascii="Arial" w:hAnsi="Arial" w:cs="Arial"/>
          <w:sz w:val="20"/>
          <w:szCs w:val="20"/>
        </w:rPr>
      </w:pPr>
      <w:r w:rsidRPr="00E22C25">
        <w:rPr>
          <w:rFonts w:ascii="Arial" w:hAnsi="Arial" w:cs="Arial"/>
          <w:sz w:val="20"/>
          <w:szCs w:val="20"/>
        </w:rPr>
        <w:t xml:space="preserve">Bâle I n’a pas tardé à être critiqué pour ses catégories de risques trop générales. Ainsi, un prêt accordé à une entreprise privée était assorti de la même pondération (100 %), que celle-ci soit la plus grande et la plus sûre, ou qu’il s’agisse d’une start-up véreuse. Les régulateurs exigeaient trop de fonds propres réglementaires pour des prêts jugés « sûrs », et pas assez pour des prêts considérés comme « risqués ». Cela a conduit les banques à brader leurs prêts « sûrs » (titrisation) à des entités hors du filet de sécurité réglementaire (y compris au sein du </w:t>
      </w:r>
      <w:proofErr w:type="spellStart"/>
      <w:r w:rsidRPr="00E22C25">
        <w:rPr>
          <w:rFonts w:ascii="Arial" w:hAnsi="Arial" w:cs="Arial"/>
          <w:sz w:val="20"/>
          <w:szCs w:val="20"/>
        </w:rPr>
        <w:t>shadow</w:t>
      </w:r>
      <w:proofErr w:type="spellEnd"/>
      <w:r w:rsidRPr="00E22C25">
        <w:rPr>
          <w:rFonts w:ascii="Arial" w:hAnsi="Arial" w:cs="Arial"/>
          <w:sz w:val="20"/>
          <w:szCs w:val="20"/>
        </w:rPr>
        <w:t xml:space="preserve"> </w:t>
      </w:r>
      <w:proofErr w:type="spellStart"/>
      <w:r w:rsidRPr="00E22C25">
        <w:rPr>
          <w:rFonts w:ascii="Arial" w:hAnsi="Arial" w:cs="Arial"/>
          <w:sz w:val="20"/>
          <w:szCs w:val="20"/>
        </w:rPr>
        <w:t>banking</w:t>
      </w:r>
      <w:proofErr w:type="spellEnd"/>
      <w:r w:rsidRPr="00E22C25">
        <w:rPr>
          <w:rFonts w:ascii="Arial" w:hAnsi="Arial" w:cs="Arial"/>
          <w:sz w:val="20"/>
          <w:szCs w:val="20"/>
        </w:rPr>
        <w:t xml:space="preserve">) et à conserver leurs prêts « risqués ». De ce fait, alors qu’elle était destinée à rendre les banques plus sûres, la réglementation contribuait au contraire à accroître leur risque. La réponse consistait apparemment à se fier davantage à l’évaluation du risque par le marché, que ce soit par le biais des agences de notation, ou mieux encore, par les banques elles-mêmes dans le cadre des approches de notation interne de type Fondation ou Avancée. L’idée de base était de permettre aux régulateurs de prendre en charge les meilleures techniques de gestion des risques des entités qu’elles régissent, et l’une des fiertés des auteurs de Bâle II était que cet accord permettait d’aligner </w:t>
      </w:r>
      <w:r w:rsidRPr="00E22C25">
        <w:rPr>
          <w:rFonts w:ascii="Arial" w:hAnsi="Arial" w:cs="Arial"/>
          <w:sz w:val="20"/>
          <w:szCs w:val="20"/>
        </w:rPr>
        <w:lastRenderedPageBreak/>
        <w:t xml:space="preserve">beaucoup plus étroitement les fonds propres réglementaires sur le capital économique que les banques souhaitaient conserver de leur propre chef. Il s’agissait cependant d’une stratégie peu judicieuse. Ce qui importe à une banque commerciale, c’est comment se positionner dans des conditions normales, dans lesquelles elle peut supposer (même s’il s’agit d’une banque de grande taille) que l’environnement extérieur sera peu affecté par ses propres actions. En cas de conditions réellement extrêmes, les autorités devront de toute façon intervenir. Par ailleurs, une banque de ce type ne se sent pas concernée par les éventuelles externalités que sa faillite pourrait engendrer. Et c’est dans cette perspective-là que des outils tels que la </w:t>
      </w:r>
      <w:proofErr w:type="spellStart"/>
      <w:r w:rsidRPr="00E22C25">
        <w:rPr>
          <w:rFonts w:ascii="Arial" w:hAnsi="Arial" w:cs="Arial"/>
          <w:sz w:val="20"/>
          <w:szCs w:val="20"/>
        </w:rPr>
        <w:t>VaR</w:t>
      </w:r>
      <w:proofErr w:type="spellEnd"/>
      <w:r w:rsidRPr="00E22C25">
        <w:rPr>
          <w:rFonts w:ascii="Arial" w:hAnsi="Arial" w:cs="Arial"/>
          <w:sz w:val="20"/>
          <w:szCs w:val="20"/>
        </w:rPr>
        <w:t xml:space="preserve"> ou les tests de résistance sont conçus. Mais les préoccupations des régulateurs auraient dû être très différentes et porter exclusivement sur les externalités puisque les créanciers des banques doivent normalement assumer les pertes « internalisées ». Elles auraient dû tenir compte de la solidité du système dans son ensemble et pas tant celle de la banque prise individuellement, des covariances plutôt que des variances, et des mécanismes interactifs auto-amplifiés plutôt que des tests de résistance qui partent du principe que le monde reste invariant aux propres réactions des banques (</w:t>
      </w:r>
      <w:proofErr w:type="spellStart"/>
      <w:r w:rsidRPr="00E22C25">
        <w:rPr>
          <w:rFonts w:ascii="Arial" w:hAnsi="Arial" w:cs="Arial"/>
          <w:sz w:val="20"/>
          <w:szCs w:val="20"/>
        </w:rPr>
        <w:t>Brunnermeier</w:t>
      </w:r>
      <w:proofErr w:type="spellEnd"/>
      <w:r w:rsidRPr="00E22C25">
        <w:rPr>
          <w:rFonts w:ascii="Arial" w:hAnsi="Arial" w:cs="Arial"/>
          <w:sz w:val="20"/>
          <w:szCs w:val="20"/>
        </w:rPr>
        <w:t xml:space="preserve"> et al., 2009). Pourquoi les choses ont-elles si mal tourné ? D’abord, il y avait souvent une croyance implicite selon laquelle, si on assure la sécurité des composantes individuelles (banques) d’un système (bancaire), alors le système dans son ensemble est à l’abri du danger (c’est ce qu’on appelle une erreur de généralisation). Ensuite, plutôt que de réfléchir aux questions fondamentales, les régulateurs et le CBCB ont eu tendance à rafistoler le système en réponse aux critiques (et aux événements). Régulateurs et superviseurs sont plus des pragmatiques que des théoriciens, et les économistes, dont la plupart des modèles standards font abstraction de l’intermédiation financière et/ou des faillites, leur ont été de bien peu d’aide ! En attendant, le lent et douloureux avènement de Bâle II n’a rien fait pour freiner le cycle d’expansion du crédit et de l’endettement observé jusqu’en août 2007, ni pour empêcher sa contraction brutale et destructrice par la suite. Les défaillances, la volatilité et les primes de risque ont toutes atteint de faibles niveaux entre 2003 et 2006, et les notes (attribuées par les agences de notation ou en interne) étaient élevées et sur une pente ascendante. Les bénéfices et les fonds propres étant dopés par l’application de la comptabilité au prix du marché, tous les modèles de risque et les puissantes pressions du marché encourageaient les banques et autres intermédiaires financiers à alourdir encore davantage leur endettement, jusqu’à ce que les marchés s’effondrent en juillet-août 2007. […]</w:t>
      </w:r>
    </w:p>
    <w:p w:rsidR="002A7C48" w:rsidRPr="00E22C25" w:rsidRDefault="002A7C48" w:rsidP="00E22C25">
      <w:pPr>
        <w:jc w:val="both"/>
        <w:rPr>
          <w:rFonts w:ascii="Arial" w:hAnsi="Arial" w:cs="Arial"/>
          <w:sz w:val="20"/>
          <w:szCs w:val="20"/>
        </w:rPr>
      </w:pPr>
      <w:r w:rsidRPr="00E22C25">
        <w:rPr>
          <w:rFonts w:ascii="Arial" w:hAnsi="Arial" w:cs="Arial"/>
          <w:sz w:val="20"/>
          <w:szCs w:val="20"/>
        </w:rPr>
        <w:t xml:space="preserve">Compte tenu de la facilité avec laquelle un ratio de fonds propres, pondéré ou non, peut être manipulé (dans le premier cas en misant sur des actifs dont le poids du risque est « optimiste » et, dans le second, en détenant des actifs plus risqués au bilan tout en </w:t>
      </w:r>
      <w:proofErr w:type="spellStart"/>
      <w:r w:rsidRPr="00E22C25">
        <w:rPr>
          <w:rFonts w:ascii="Arial" w:hAnsi="Arial" w:cs="Arial"/>
          <w:sz w:val="20"/>
          <w:szCs w:val="20"/>
        </w:rPr>
        <w:t>titrisant</w:t>
      </w:r>
      <w:proofErr w:type="spellEnd"/>
      <w:r w:rsidRPr="00E22C25">
        <w:rPr>
          <w:rFonts w:ascii="Arial" w:hAnsi="Arial" w:cs="Arial"/>
          <w:sz w:val="20"/>
          <w:szCs w:val="20"/>
        </w:rPr>
        <w:t xml:space="preserve">/vendant des actifs plus sûrs), la dernière proposition du CBCB présentée en septembre 2010 par son Président </w:t>
      </w:r>
      <w:proofErr w:type="spellStart"/>
      <w:r w:rsidRPr="00E22C25">
        <w:rPr>
          <w:rFonts w:ascii="Arial" w:hAnsi="Arial" w:cs="Arial"/>
          <w:sz w:val="20"/>
          <w:szCs w:val="20"/>
        </w:rPr>
        <w:t>Nout</w:t>
      </w:r>
      <w:proofErr w:type="spellEnd"/>
      <w:r w:rsidRPr="00E22C25">
        <w:rPr>
          <w:rFonts w:ascii="Arial" w:hAnsi="Arial" w:cs="Arial"/>
          <w:sz w:val="20"/>
          <w:szCs w:val="20"/>
        </w:rPr>
        <w:t xml:space="preserve"> </w:t>
      </w:r>
      <w:proofErr w:type="spellStart"/>
      <w:r w:rsidRPr="00E22C25">
        <w:rPr>
          <w:rFonts w:ascii="Arial" w:hAnsi="Arial" w:cs="Arial"/>
          <w:sz w:val="20"/>
          <w:szCs w:val="20"/>
        </w:rPr>
        <w:t>Wellink</w:t>
      </w:r>
      <w:proofErr w:type="spellEnd"/>
      <w:r w:rsidRPr="00E22C25">
        <w:rPr>
          <w:rFonts w:ascii="Arial" w:hAnsi="Arial" w:cs="Arial"/>
          <w:sz w:val="20"/>
          <w:szCs w:val="20"/>
        </w:rPr>
        <w:t>, familièrement appelée Bâle III, doit tenir simultanément compte de ces deux aspects. De nouveau, le traitement des créances conditionnelles et des éléments hors bilan est durci</w:t>
      </w:r>
      <w:r w:rsidR="000C7E63">
        <w:rPr>
          <w:rFonts w:ascii="Arial" w:hAnsi="Arial" w:cs="Arial"/>
          <w:sz w:val="20"/>
          <w:szCs w:val="20"/>
        </w:rPr>
        <w:t>,</w:t>
      </w:r>
      <w:r w:rsidRPr="00E22C25">
        <w:rPr>
          <w:rFonts w:ascii="Arial" w:hAnsi="Arial" w:cs="Arial"/>
          <w:sz w:val="20"/>
          <w:szCs w:val="20"/>
        </w:rPr>
        <w:t xml:space="preserve"> mais, compte tenu de la nature quelque peu confuse des engagements conditionnels d’extension des prêts (contrats incomplets) à l’avenir, cet aspect pourrait rester flou. De la même manière, la définition des fonds propres applicables a été restreinte. Plusieurs formes de dette hybride ou subordonnée qui étaient de rang inférieur à ceux des dépôts et qui fournissaient donc une protection en cas de défaillance sans pour autant l’empêcher, ne joueront plus le rôle qu’elles avaient dans les fonds propres complémentaires (</w:t>
      </w:r>
      <w:proofErr w:type="spellStart"/>
      <w:r w:rsidRPr="00E22C25">
        <w:rPr>
          <w:rFonts w:ascii="Arial" w:hAnsi="Arial" w:cs="Arial"/>
          <w:sz w:val="20"/>
          <w:szCs w:val="20"/>
        </w:rPr>
        <w:t>Tier</w:t>
      </w:r>
      <w:proofErr w:type="spellEnd"/>
      <w:r w:rsidRPr="00E22C25">
        <w:rPr>
          <w:rFonts w:ascii="Arial" w:hAnsi="Arial" w:cs="Arial"/>
          <w:sz w:val="20"/>
          <w:szCs w:val="20"/>
        </w:rPr>
        <w:t xml:space="preserve"> 2), voire aussi dans les fonds propres de base (</w:t>
      </w:r>
      <w:proofErr w:type="spellStart"/>
      <w:r w:rsidRPr="00E22C25">
        <w:rPr>
          <w:rFonts w:ascii="Arial" w:hAnsi="Arial" w:cs="Arial"/>
          <w:sz w:val="20"/>
          <w:szCs w:val="20"/>
        </w:rPr>
        <w:t>Tier</w:t>
      </w:r>
      <w:proofErr w:type="spellEnd"/>
      <w:r w:rsidRPr="00E22C25">
        <w:rPr>
          <w:rFonts w:ascii="Arial" w:hAnsi="Arial" w:cs="Arial"/>
          <w:sz w:val="20"/>
          <w:szCs w:val="20"/>
        </w:rPr>
        <w:t xml:space="preserve"> 1). L’attention est désormais focalisée sur les fonds propres de base et, à l’intérieur de ceux-ci, le noyau dur (</w:t>
      </w:r>
      <w:proofErr w:type="spellStart"/>
      <w:r w:rsidRPr="00E22C25">
        <w:rPr>
          <w:rFonts w:ascii="Arial" w:hAnsi="Arial" w:cs="Arial"/>
          <w:sz w:val="20"/>
          <w:szCs w:val="20"/>
        </w:rPr>
        <w:t>coreTier</w:t>
      </w:r>
      <w:proofErr w:type="spellEnd"/>
      <w:r w:rsidRPr="00E22C25">
        <w:rPr>
          <w:rFonts w:ascii="Arial" w:hAnsi="Arial" w:cs="Arial"/>
          <w:sz w:val="20"/>
          <w:szCs w:val="20"/>
        </w:rPr>
        <w:t xml:space="preserve"> 1) des fonds propres (capital + réserves). Ensuite, les prochains ratios potentiels de </w:t>
      </w:r>
      <w:proofErr w:type="spellStart"/>
      <w:r w:rsidRPr="00E22C25">
        <w:rPr>
          <w:rFonts w:ascii="Arial" w:hAnsi="Arial" w:cs="Arial"/>
          <w:sz w:val="20"/>
          <w:szCs w:val="20"/>
        </w:rPr>
        <w:t>Tier</w:t>
      </w:r>
      <w:proofErr w:type="spellEnd"/>
      <w:r w:rsidRPr="00E22C25">
        <w:rPr>
          <w:rFonts w:ascii="Arial" w:hAnsi="Arial" w:cs="Arial"/>
          <w:sz w:val="20"/>
          <w:szCs w:val="20"/>
        </w:rPr>
        <w:t xml:space="preserve"> 1 et </w:t>
      </w:r>
      <w:proofErr w:type="spellStart"/>
      <w:r w:rsidRPr="00E22C25">
        <w:rPr>
          <w:rFonts w:ascii="Arial" w:hAnsi="Arial" w:cs="Arial"/>
          <w:sz w:val="20"/>
          <w:szCs w:val="20"/>
        </w:rPr>
        <w:t>core-Tier</w:t>
      </w:r>
      <w:proofErr w:type="spellEnd"/>
      <w:r w:rsidRPr="00E22C25">
        <w:rPr>
          <w:rFonts w:ascii="Arial" w:hAnsi="Arial" w:cs="Arial"/>
          <w:sz w:val="20"/>
          <w:szCs w:val="20"/>
        </w:rPr>
        <w:t xml:space="preserve"> 1, pondéré et non pondéré (ratio de levier) seront plus exigeants, mais la période de transition sera longue (jusqu’à la fin de 2018) pour tenir compte de la récession en cours, de l’affaiblissement du système bancaire et de la lente croissance (voir du recul) des prêts bancaires au secteur privé.</w:t>
      </w:r>
    </w:p>
    <w:p w:rsidR="002A7C48" w:rsidRPr="00E22C25" w:rsidRDefault="002A7C48" w:rsidP="00E22C25">
      <w:pPr>
        <w:jc w:val="both"/>
        <w:rPr>
          <w:rFonts w:ascii="Arial" w:hAnsi="Arial" w:cs="Arial"/>
          <w:sz w:val="20"/>
          <w:szCs w:val="20"/>
        </w:rPr>
      </w:pPr>
      <w:r w:rsidRPr="00E22C25">
        <w:rPr>
          <w:rFonts w:ascii="Arial" w:hAnsi="Arial" w:cs="Arial"/>
          <w:sz w:val="20"/>
          <w:szCs w:val="20"/>
        </w:rPr>
        <w:t>Par le passé, l’approche du CBCB a comporté une faiblesse majeure, à savoir la réticence à appliquer des sanctions. Comme la loi et les sanctions sont une prérogative nationale, et puisque le CBCB n’a aucun fondement formel et qu’il agit en qualité d’organe consultatif, il s’est toujours abstenu de préconiser toute sanction en cas de non-respect de ses propositions de ratios. La conséquence fâcheuse de cela est</w:t>
      </w:r>
      <w:r w:rsidR="00A11511">
        <w:rPr>
          <w:rFonts w:ascii="Arial" w:hAnsi="Arial" w:cs="Arial"/>
          <w:sz w:val="20"/>
          <w:szCs w:val="20"/>
        </w:rPr>
        <w:t xml:space="preserve"> que pratiquement tous les opé</w:t>
      </w:r>
      <w:r w:rsidRPr="00E22C25">
        <w:rPr>
          <w:rFonts w:ascii="Arial" w:hAnsi="Arial" w:cs="Arial"/>
          <w:sz w:val="20"/>
          <w:szCs w:val="20"/>
        </w:rPr>
        <w:t>rateurs du marché, agences de notation, investisseurs et observateurs, et les régulateurs nationaux eux-mêmes considèrent les ratios proposés par le comité de Bâle comme des minima absolus dont le non-respect exposerait à de sérieux problèmes de réputation. Le CBCB a depuis entrepris de recommander des sanctions lorsque les fonds propres de base tombent à moins de 7 % des actifs pondérés des risques.</w:t>
      </w:r>
    </w:p>
    <w:p w:rsidR="002A7C48" w:rsidRPr="00E22C25" w:rsidRDefault="002A7C48" w:rsidP="00893E5D">
      <w:pPr>
        <w:spacing w:after="60"/>
        <w:jc w:val="both"/>
        <w:rPr>
          <w:rFonts w:ascii="Arial" w:hAnsi="Arial" w:cs="Arial"/>
          <w:sz w:val="20"/>
          <w:szCs w:val="20"/>
        </w:rPr>
      </w:pPr>
      <w:r w:rsidRPr="00E22C25">
        <w:rPr>
          <w:rFonts w:ascii="Arial" w:hAnsi="Arial" w:cs="Arial"/>
          <w:i/>
          <w:sz w:val="20"/>
          <w:szCs w:val="20"/>
        </w:rPr>
        <w:lastRenderedPageBreak/>
        <w:t>Ratios de liquidité</w:t>
      </w:r>
    </w:p>
    <w:p w:rsidR="002A7C48" w:rsidRPr="00E22C25" w:rsidRDefault="002A7C48" w:rsidP="00E22C25">
      <w:pPr>
        <w:jc w:val="both"/>
        <w:rPr>
          <w:rFonts w:ascii="Arial" w:hAnsi="Arial" w:cs="Arial"/>
          <w:sz w:val="20"/>
          <w:szCs w:val="20"/>
        </w:rPr>
      </w:pPr>
      <w:r w:rsidRPr="00E22C25">
        <w:rPr>
          <w:rFonts w:ascii="Arial" w:hAnsi="Arial" w:cs="Arial"/>
          <w:sz w:val="20"/>
          <w:szCs w:val="20"/>
        </w:rPr>
        <w:t xml:space="preserve">Le Comité de Bâle sur le contrôle bancaire a échoué dans sa première tentative d’accord sur la liquidité dans les années quatre-vingt. En partie en conséquence de cela, la liquidité des actifs s’est détériorée. L’hypothèse générale partagée par la plupart des banquiers et des régulateurs était que tant que les banques disposaient de fonds propres « en quantité suffisante », elles pourraient toujours accéder à des marchés interbancaires efficaces et remplacer la liquidité d’actif par de la liquidité de financement. Bien que les financements obtenus sur le marché monétaire soient à court terme, et les actifs des banques à plus long terme, les risques de taux d’intérêt et de crédit issus d’une telle asymétrie d’échéances pourraient être maîtrisés par le recours à la titrisation et à des couvertures sur les marchés dérivés. Au final, il était supposé que le respect de Bâle II garantirait un niveau « suffisant » de fonds propres. Ces plaisantes hypothèses se sont effondrées à l’été 2007. Avec les pertes réelles et potentielles subies sur les titres adossés à des créances hypothécaires, notamment ceux qualifiés de </w:t>
      </w:r>
      <w:proofErr w:type="spellStart"/>
      <w:r w:rsidRPr="00E22C25">
        <w:rPr>
          <w:rFonts w:ascii="Arial" w:hAnsi="Arial" w:cs="Arial"/>
          <w:sz w:val="20"/>
          <w:szCs w:val="20"/>
        </w:rPr>
        <w:t>subprimes</w:t>
      </w:r>
      <w:proofErr w:type="spellEnd"/>
      <w:r w:rsidRPr="00E22C25">
        <w:rPr>
          <w:rFonts w:ascii="Arial" w:hAnsi="Arial" w:cs="Arial"/>
          <w:sz w:val="20"/>
          <w:szCs w:val="20"/>
        </w:rPr>
        <w:t>, et le contournement de Bâle II, notamment par les banques européennes, le respect des conditions de Bâle II était dans de nombreux cas insuffisant pour garantir la solvabilité future. Avec l’opacité des CDO (</w:t>
      </w:r>
      <w:proofErr w:type="spellStart"/>
      <w:r w:rsidRPr="00E22C25">
        <w:rPr>
          <w:rFonts w:ascii="Arial" w:hAnsi="Arial" w:cs="Arial"/>
          <w:sz w:val="20"/>
          <w:szCs w:val="20"/>
        </w:rPr>
        <w:t>collateralized</w:t>
      </w:r>
      <w:proofErr w:type="spellEnd"/>
      <w:r w:rsidRPr="00E22C25">
        <w:rPr>
          <w:rFonts w:ascii="Arial" w:hAnsi="Arial" w:cs="Arial"/>
          <w:sz w:val="20"/>
          <w:szCs w:val="20"/>
        </w:rPr>
        <w:t xml:space="preserve"> </w:t>
      </w:r>
      <w:proofErr w:type="spellStart"/>
      <w:r w:rsidRPr="00E22C25">
        <w:rPr>
          <w:rFonts w:ascii="Arial" w:hAnsi="Arial" w:cs="Arial"/>
          <w:sz w:val="20"/>
          <w:szCs w:val="20"/>
        </w:rPr>
        <w:t>debt</w:t>
      </w:r>
      <w:proofErr w:type="spellEnd"/>
      <w:r w:rsidRPr="00E22C25">
        <w:rPr>
          <w:rFonts w:ascii="Arial" w:hAnsi="Arial" w:cs="Arial"/>
          <w:sz w:val="20"/>
          <w:szCs w:val="20"/>
        </w:rPr>
        <w:t xml:space="preserve"> obligations), les marchés de la titrisation se sont asséchés, tout comme les marchés interbancaires à court terme (par exemple, papier commercial adossé à des actifs) et les marchés des prêts interbancaires à long terme non garantis. Cela a conduit à crise de liquidité.</w:t>
      </w:r>
    </w:p>
    <w:p w:rsidR="002A7C48" w:rsidRPr="00E22C25" w:rsidRDefault="002A7C48" w:rsidP="00E22C25">
      <w:pPr>
        <w:jc w:val="both"/>
        <w:rPr>
          <w:rFonts w:ascii="Arial" w:hAnsi="Arial" w:cs="Arial"/>
          <w:sz w:val="20"/>
          <w:szCs w:val="20"/>
        </w:rPr>
      </w:pPr>
      <w:r w:rsidRPr="00E22C25">
        <w:rPr>
          <w:rFonts w:ascii="Arial" w:hAnsi="Arial" w:cs="Arial"/>
          <w:sz w:val="20"/>
          <w:szCs w:val="20"/>
        </w:rPr>
        <w:t>À en juger par la série d’hypothèses susmentionnées, cette crise n’aurait jamais dû se produire et a largement surpris tous les opérateurs, y compris les banques centrales. L’une des réactions a</w:t>
      </w:r>
      <w:r w:rsidR="00893E5D">
        <w:rPr>
          <w:rFonts w:ascii="Arial" w:hAnsi="Arial" w:cs="Arial"/>
          <w:sz w:val="20"/>
          <w:szCs w:val="20"/>
        </w:rPr>
        <w:t xml:space="preserve"> consisté à attribuer cette fâ</w:t>
      </w:r>
      <w:r w:rsidRPr="00E22C25">
        <w:rPr>
          <w:rFonts w:ascii="Arial" w:hAnsi="Arial" w:cs="Arial"/>
          <w:sz w:val="20"/>
          <w:szCs w:val="20"/>
        </w:rPr>
        <w:t>cheuse situation aux stratégies des banques commerciales (trop peu d’actifs du secteur public de qualité, dépendance excessive aux fonds interbancaires d’échéance courte et à la titrisation, écarts de maturité trop importants au bilan des banques, etc.), de sorte que tirer les banques de cette ornière entraînerait un problème d’aléa moral. C’est peut-être le cas, mais cet effondrement s’est avéré si brutal que toutes les banques centrales ont été contraintes d’accroître leurs injections de liquidité sur un éventail à plusieurs reprises élargi d’échéances, de garanties et d’établissements. […]</w:t>
      </w:r>
    </w:p>
    <w:p w:rsidR="002A7C48" w:rsidRPr="00E22C25" w:rsidRDefault="002A7C48" w:rsidP="00E22C25">
      <w:pPr>
        <w:jc w:val="both"/>
        <w:rPr>
          <w:rFonts w:ascii="Arial" w:hAnsi="Arial" w:cs="Arial"/>
          <w:sz w:val="20"/>
          <w:szCs w:val="20"/>
        </w:rPr>
      </w:pPr>
      <w:r w:rsidRPr="00E22C25">
        <w:rPr>
          <w:rFonts w:ascii="Arial" w:hAnsi="Arial" w:cs="Arial"/>
          <w:sz w:val="20"/>
          <w:szCs w:val="20"/>
        </w:rPr>
        <w:t xml:space="preserve">Ainsi, même si une Banque centrale se retrouve finalement contrainte de prêter en garantie d’actifs détenus par une banque commerciale, l’existence d’un ratio de liquidité applicable à ces derniers peut lui éviter de devoir le faire. Cela laisse du temps aux autorités pour résoudre la crise, et cela permet en outre de faciliter considérablement le choix des moyens appropriés pour le faire. Cependant, à partir du moment où l’on reconnaît que le rôle d’un ratio de liquidité des actifs consiste essentiellement à empêcher que la Banque centrale soit contrainte de renflouer précipitamment les banques, le premier point de réflexion porte alors sur la composition et le ratio normal à imposer sur ces actifs. En particulier, les marchés privés, notamment des actifs adossés à des crédits hypothécaires, peuvent rapidement devenir </w:t>
      </w:r>
      <w:proofErr w:type="spellStart"/>
      <w:r w:rsidRPr="00E22C25">
        <w:rPr>
          <w:rFonts w:ascii="Arial" w:hAnsi="Arial" w:cs="Arial"/>
          <w:sz w:val="20"/>
          <w:szCs w:val="20"/>
        </w:rPr>
        <w:t>illiquides</w:t>
      </w:r>
      <w:proofErr w:type="spellEnd"/>
      <w:r w:rsidRPr="00E22C25">
        <w:rPr>
          <w:rFonts w:ascii="Arial" w:hAnsi="Arial" w:cs="Arial"/>
          <w:sz w:val="20"/>
          <w:szCs w:val="20"/>
        </w:rPr>
        <w:t xml:space="preserve"> et les marchés interbancaires s’assécher. Cela suggère qu’à ce titre, les actifs liquides devraient consister principalement en dette publique et représenter un montant suffisant pour satisfaire les besoins en liquidités pendant une période assez longue (disons dix semaines) et permettre à la banque centrale de réagir à une crise généralisée de liquidité.</w:t>
      </w:r>
    </w:p>
    <w:p w:rsidR="002A7C48" w:rsidRPr="00E22C25" w:rsidRDefault="002A7C48" w:rsidP="00697A97">
      <w:pPr>
        <w:jc w:val="right"/>
        <w:rPr>
          <w:rFonts w:ascii="Arial" w:hAnsi="Arial" w:cs="Arial"/>
          <w:i/>
          <w:sz w:val="20"/>
          <w:szCs w:val="20"/>
        </w:rPr>
      </w:pPr>
      <w:r w:rsidRPr="00E22C25">
        <w:rPr>
          <w:rFonts w:ascii="Arial" w:hAnsi="Arial" w:cs="Arial"/>
          <w:sz w:val="20"/>
          <w:szCs w:val="20"/>
        </w:rPr>
        <w:t xml:space="preserve">C.E.E. </w:t>
      </w:r>
      <w:proofErr w:type="spellStart"/>
      <w:r w:rsidRPr="00E22C25">
        <w:rPr>
          <w:rFonts w:ascii="Arial" w:hAnsi="Arial" w:cs="Arial"/>
          <w:sz w:val="20"/>
          <w:szCs w:val="20"/>
        </w:rPr>
        <w:t>Goodhart</w:t>
      </w:r>
      <w:proofErr w:type="spellEnd"/>
      <w:r w:rsidRPr="00E22C25">
        <w:rPr>
          <w:rFonts w:ascii="Arial" w:hAnsi="Arial" w:cs="Arial"/>
          <w:sz w:val="20"/>
          <w:szCs w:val="20"/>
        </w:rPr>
        <w:t xml:space="preserve">, </w:t>
      </w:r>
      <w:r w:rsidRPr="00E22C25">
        <w:rPr>
          <w:rFonts w:ascii="Arial" w:hAnsi="Arial" w:cs="Arial"/>
          <w:i/>
          <w:sz w:val="20"/>
          <w:szCs w:val="20"/>
        </w:rPr>
        <w:t xml:space="preserve">La surveillance </w:t>
      </w:r>
      <w:proofErr w:type="spellStart"/>
      <w:r w:rsidRPr="00E22C25">
        <w:rPr>
          <w:rFonts w:ascii="Arial" w:hAnsi="Arial" w:cs="Arial"/>
          <w:i/>
          <w:sz w:val="20"/>
          <w:szCs w:val="20"/>
        </w:rPr>
        <w:t>macro-</w:t>
      </w:r>
      <w:r w:rsidRPr="00E22C25">
        <w:rPr>
          <w:rFonts w:ascii="Arial" w:hAnsi="Arial" w:cs="Arial"/>
          <w:sz w:val="20"/>
          <w:szCs w:val="20"/>
        </w:rPr>
        <w:t>prudentielle</w:t>
      </w:r>
      <w:proofErr w:type="spellEnd"/>
      <w:r w:rsidRPr="00E22C25">
        <w:rPr>
          <w:rFonts w:ascii="Arial" w:hAnsi="Arial" w:cs="Arial"/>
          <w:sz w:val="20"/>
          <w:szCs w:val="20"/>
        </w:rPr>
        <w:t xml:space="preserve">, in J-P. </w:t>
      </w:r>
      <w:proofErr w:type="spellStart"/>
      <w:r w:rsidRPr="00E22C25">
        <w:rPr>
          <w:rFonts w:ascii="Arial" w:hAnsi="Arial" w:cs="Arial"/>
          <w:sz w:val="20"/>
          <w:szCs w:val="20"/>
        </w:rPr>
        <w:t>Betbèze</w:t>
      </w:r>
      <w:proofErr w:type="spellEnd"/>
      <w:r w:rsidRPr="00E22C25">
        <w:rPr>
          <w:rFonts w:ascii="Arial" w:hAnsi="Arial" w:cs="Arial"/>
          <w:sz w:val="20"/>
          <w:szCs w:val="20"/>
        </w:rPr>
        <w:t xml:space="preserve">, C. Bordes, J. </w:t>
      </w:r>
      <w:proofErr w:type="spellStart"/>
      <w:r w:rsidRPr="00E22C25">
        <w:rPr>
          <w:rFonts w:ascii="Arial" w:hAnsi="Arial" w:cs="Arial"/>
          <w:sz w:val="20"/>
          <w:szCs w:val="20"/>
        </w:rPr>
        <w:t>Couppey-Soubeyran</w:t>
      </w:r>
      <w:proofErr w:type="spellEnd"/>
      <w:r w:rsidRPr="00E22C25">
        <w:rPr>
          <w:rFonts w:ascii="Arial" w:hAnsi="Arial" w:cs="Arial"/>
          <w:sz w:val="20"/>
          <w:szCs w:val="20"/>
        </w:rPr>
        <w:t xml:space="preserve"> et D. </w:t>
      </w:r>
      <w:proofErr w:type="spellStart"/>
      <w:r w:rsidRPr="00E22C25">
        <w:rPr>
          <w:rFonts w:ascii="Arial" w:hAnsi="Arial" w:cs="Arial"/>
          <w:sz w:val="20"/>
          <w:szCs w:val="20"/>
        </w:rPr>
        <w:t>Plihon</w:t>
      </w:r>
      <w:proofErr w:type="spellEnd"/>
      <w:r w:rsidRPr="00E22C25">
        <w:rPr>
          <w:rFonts w:ascii="Arial" w:hAnsi="Arial" w:cs="Arial"/>
          <w:sz w:val="20"/>
          <w:szCs w:val="20"/>
        </w:rPr>
        <w:t xml:space="preserve">, </w:t>
      </w:r>
      <w:r w:rsidRPr="00E22C25">
        <w:rPr>
          <w:rFonts w:ascii="Arial" w:hAnsi="Arial" w:cs="Arial"/>
          <w:i/>
          <w:sz w:val="20"/>
          <w:szCs w:val="20"/>
        </w:rPr>
        <w:t>Banques centrales et stabilité financière</w:t>
      </w:r>
      <w:r w:rsidRPr="00E22C25">
        <w:rPr>
          <w:rFonts w:ascii="Arial" w:hAnsi="Arial" w:cs="Arial"/>
          <w:sz w:val="20"/>
          <w:szCs w:val="20"/>
        </w:rPr>
        <w:t>, rapport du CAE, La documentation française 2011</w:t>
      </w:r>
      <w:r w:rsidRPr="00E22C25">
        <w:rPr>
          <w:rFonts w:ascii="Arial" w:hAnsi="Arial" w:cs="Arial"/>
          <w:i/>
          <w:sz w:val="20"/>
          <w:szCs w:val="20"/>
        </w:rPr>
        <w:t xml:space="preserve"> </w:t>
      </w:r>
    </w:p>
    <w:p w:rsidR="00CB4656" w:rsidRDefault="00CB4656" w:rsidP="00CB4656">
      <w:pPr>
        <w:rPr>
          <w:rFonts w:ascii="Arial" w:hAnsi="Arial" w:cs="Arial"/>
          <w:sz w:val="20"/>
          <w:szCs w:val="20"/>
        </w:rPr>
      </w:pPr>
    </w:p>
    <w:p w:rsidR="002A7C48" w:rsidRPr="00CB4656" w:rsidRDefault="009C51C0" w:rsidP="00CB4656">
      <w:pPr>
        <w:rPr>
          <w:rFonts w:ascii="Arial" w:hAnsi="Arial" w:cs="Arial"/>
          <w:sz w:val="20"/>
          <w:szCs w:val="20"/>
        </w:rPr>
      </w:pPr>
      <w:r w:rsidRPr="00A11511">
        <w:rPr>
          <w:rFonts w:ascii="Arial" w:hAnsi="Arial" w:cs="Arial"/>
          <w:b/>
          <w:sz w:val="20"/>
          <w:szCs w:val="20"/>
          <w:u w:val="single"/>
        </w:rPr>
        <w:t>Document</w:t>
      </w:r>
      <w:r w:rsidR="00CB4656">
        <w:rPr>
          <w:rFonts w:ascii="Arial" w:hAnsi="Arial" w:cs="Arial"/>
          <w:b/>
          <w:sz w:val="20"/>
          <w:szCs w:val="20"/>
          <w:u w:val="single"/>
        </w:rPr>
        <w:t xml:space="preserve"> 7</w:t>
      </w:r>
      <w:r w:rsidRPr="00A11511">
        <w:rPr>
          <w:rFonts w:ascii="Arial" w:hAnsi="Arial" w:cs="Arial"/>
          <w:b/>
          <w:sz w:val="20"/>
          <w:szCs w:val="20"/>
          <w:u w:val="single"/>
        </w:rPr>
        <w:t> : le risque de crédit est issu de la réglementation bancaire</w:t>
      </w:r>
    </w:p>
    <w:p w:rsidR="00FC475F" w:rsidRPr="00E22C25" w:rsidRDefault="00FC475F" w:rsidP="00E22C25">
      <w:pPr>
        <w:pStyle w:val="Style"/>
        <w:ind w:left="9" w:right="19" w:firstLine="388"/>
        <w:jc w:val="both"/>
        <w:rPr>
          <w:sz w:val="20"/>
          <w:szCs w:val="20"/>
        </w:rPr>
      </w:pPr>
      <w:r w:rsidRPr="00E22C25">
        <w:rPr>
          <w:sz w:val="20"/>
          <w:szCs w:val="20"/>
        </w:rPr>
        <w:t>Depuis le début de la crise, on accuse l</w:t>
      </w:r>
      <w:r w:rsidR="00230C7F" w:rsidRPr="00E22C25">
        <w:rPr>
          <w:sz w:val="20"/>
          <w:szCs w:val="20"/>
        </w:rPr>
        <w:t>es banquiers d'avoir pris des r</w:t>
      </w:r>
      <w:r w:rsidRPr="00E22C25">
        <w:rPr>
          <w:sz w:val="20"/>
          <w:szCs w:val="20"/>
        </w:rPr>
        <w:t xml:space="preserve">isques inconsidérés, banquiers qui font ainsi figure de boucs émissaires, </w:t>
      </w:r>
      <w:r w:rsidR="000C7E63">
        <w:rPr>
          <w:sz w:val="20"/>
          <w:szCs w:val="20"/>
        </w:rPr>
        <w:t>o</w:t>
      </w:r>
      <w:r w:rsidRPr="00E22C25">
        <w:rPr>
          <w:sz w:val="20"/>
          <w:szCs w:val="20"/>
        </w:rPr>
        <w:t xml:space="preserve">n oublie de dire ce qui les a incités à oublier leur prudence traditionnelle. On a dit le rôle des banques centrales dans cette dérive. Mais la réglementation bancaire, elle-même, n'est pas innocente, aussi paradoxale que cela puisse paraître. </w:t>
      </w:r>
    </w:p>
    <w:p w:rsidR="00D83B63" w:rsidRPr="00E22C25" w:rsidRDefault="00FC475F" w:rsidP="00E22C25">
      <w:pPr>
        <w:pStyle w:val="Style"/>
        <w:ind w:left="9" w:right="19" w:firstLine="388"/>
        <w:jc w:val="both"/>
        <w:rPr>
          <w:sz w:val="20"/>
          <w:szCs w:val="20"/>
        </w:rPr>
      </w:pPr>
      <w:r w:rsidRPr="00E22C25">
        <w:rPr>
          <w:sz w:val="20"/>
          <w:szCs w:val="20"/>
        </w:rPr>
        <w:t xml:space="preserve">En France, par exemple, les encouragements réglementaires à la </w:t>
      </w:r>
      <w:r w:rsidRPr="00E22C25">
        <w:rPr>
          <w:w w:val="59"/>
          <w:sz w:val="20"/>
          <w:szCs w:val="20"/>
        </w:rPr>
        <w:t xml:space="preserve">« </w:t>
      </w:r>
      <w:r w:rsidRPr="00E22C25">
        <w:rPr>
          <w:sz w:val="20"/>
          <w:szCs w:val="20"/>
        </w:rPr>
        <w:t xml:space="preserve">titrisation du crédit » ont poussé au crime : par une loi du 4 janvier 1993, la Banque de France n'est plus consultée, les conditions de titrisation </w:t>
      </w:r>
      <w:r w:rsidR="00D83B63" w:rsidRPr="00E22C25">
        <w:rPr>
          <w:sz w:val="20"/>
          <w:szCs w:val="20"/>
        </w:rPr>
        <w:t xml:space="preserve">sont assouplies, la possibilité de rechargement des fonds est introduite, l'obligation de garantie contre les risques de défaillance des débiteurs cédés est supprimée. Les sociétés d'assurances sont également autorisées à </w:t>
      </w:r>
      <w:proofErr w:type="spellStart"/>
      <w:r w:rsidR="00D83B63" w:rsidRPr="00E22C25">
        <w:rPr>
          <w:sz w:val="20"/>
          <w:szCs w:val="20"/>
        </w:rPr>
        <w:t>titriser</w:t>
      </w:r>
      <w:proofErr w:type="spellEnd"/>
      <w:r w:rsidR="00D83B63" w:rsidRPr="00E22C25">
        <w:rPr>
          <w:sz w:val="20"/>
          <w:szCs w:val="20"/>
        </w:rPr>
        <w:t xml:space="preserve"> leurs cré</w:t>
      </w:r>
      <w:r w:rsidR="00230C7F" w:rsidRPr="00E22C25">
        <w:rPr>
          <w:sz w:val="20"/>
          <w:szCs w:val="20"/>
        </w:rPr>
        <w:t>ances depuis 1993. La loi de « </w:t>
      </w:r>
      <w:r w:rsidR="00D83B63" w:rsidRPr="00E22C25">
        <w:rPr>
          <w:sz w:val="20"/>
          <w:szCs w:val="20"/>
        </w:rPr>
        <w:t>modernisation financière</w:t>
      </w:r>
      <w:r w:rsidR="00230C7F" w:rsidRPr="00E22C25">
        <w:rPr>
          <w:sz w:val="20"/>
          <w:szCs w:val="20"/>
        </w:rPr>
        <w:t xml:space="preserve"> » </w:t>
      </w:r>
      <w:r w:rsidR="00D83B63" w:rsidRPr="00E22C25">
        <w:rPr>
          <w:sz w:val="20"/>
          <w:szCs w:val="20"/>
        </w:rPr>
        <w:t>du 2 juillet 1996 en remettra une couche, si l'on ose</w:t>
      </w:r>
      <w:r w:rsidR="00230C7F" w:rsidRPr="00E22C25">
        <w:rPr>
          <w:sz w:val="20"/>
          <w:szCs w:val="20"/>
        </w:rPr>
        <w:t xml:space="preserve"> dire, en autorisant la réémi</w:t>
      </w:r>
      <w:r w:rsidR="00D83B63" w:rsidRPr="00E22C25">
        <w:rPr>
          <w:sz w:val="20"/>
          <w:szCs w:val="20"/>
        </w:rPr>
        <w:t>ssion de parts négociables par ces véhicules de placement et la créatio</w:t>
      </w:r>
      <w:r w:rsidR="00230C7F" w:rsidRPr="00E22C25">
        <w:rPr>
          <w:sz w:val="20"/>
          <w:szCs w:val="20"/>
        </w:rPr>
        <w:t>n des « </w:t>
      </w:r>
      <w:r w:rsidR="00D83B63" w:rsidRPr="00E22C25">
        <w:rPr>
          <w:sz w:val="20"/>
          <w:szCs w:val="20"/>
        </w:rPr>
        <w:t xml:space="preserve">fonds de fonds » communs de créances pour mutualiser </w:t>
      </w:r>
      <w:r w:rsidR="00D83B63" w:rsidRPr="00E22C25">
        <w:rPr>
          <w:i/>
          <w:iCs/>
          <w:sz w:val="20"/>
          <w:szCs w:val="20"/>
        </w:rPr>
        <w:t xml:space="preserve">et </w:t>
      </w:r>
      <w:r w:rsidR="00D83B63" w:rsidRPr="00E22C25">
        <w:rPr>
          <w:sz w:val="20"/>
          <w:szCs w:val="20"/>
        </w:rPr>
        <w:t xml:space="preserve">diminuer le risque de perte de l'investisseur final - au prix d'une dilution supplémentaire du contrôle sur le risque de </w:t>
      </w:r>
      <w:r w:rsidR="00D83B63" w:rsidRPr="00E22C25">
        <w:rPr>
          <w:sz w:val="20"/>
          <w:szCs w:val="20"/>
        </w:rPr>
        <w:lastRenderedPageBreak/>
        <w:t>défaut de l'emprunteur initial. Elle permet aussi l'acquisition par le</w:t>
      </w:r>
      <w:r w:rsidR="00230C7F" w:rsidRPr="00E22C25">
        <w:rPr>
          <w:sz w:val="20"/>
          <w:szCs w:val="20"/>
        </w:rPr>
        <w:t xml:space="preserve">s fonds communs </w:t>
      </w:r>
      <w:r w:rsidR="00D83B63" w:rsidRPr="00E22C25">
        <w:rPr>
          <w:sz w:val="20"/>
          <w:szCs w:val="20"/>
        </w:rPr>
        <w:t>de créances de créances futures, et même de créances « immobilisées, litigieuses ou douteuses »</w:t>
      </w:r>
      <w:r w:rsidR="000C7E63">
        <w:rPr>
          <w:sz w:val="20"/>
          <w:szCs w:val="20"/>
        </w:rPr>
        <w:t>.</w:t>
      </w:r>
    </w:p>
    <w:p w:rsidR="00D83B63" w:rsidRPr="00E22C25" w:rsidRDefault="00D83B63" w:rsidP="00E22C25">
      <w:pPr>
        <w:pStyle w:val="Style"/>
        <w:ind w:left="9" w:right="19" w:firstLine="388"/>
        <w:jc w:val="both"/>
        <w:rPr>
          <w:sz w:val="20"/>
          <w:szCs w:val="20"/>
        </w:rPr>
      </w:pPr>
      <w:r w:rsidRPr="00E22C25">
        <w:rPr>
          <w:sz w:val="20"/>
          <w:szCs w:val="20"/>
        </w:rPr>
        <w:t xml:space="preserve">En 1996 justement, le montant des crédits </w:t>
      </w:r>
      <w:proofErr w:type="spellStart"/>
      <w:r w:rsidRPr="00E22C25">
        <w:rPr>
          <w:sz w:val="20"/>
          <w:szCs w:val="20"/>
        </w:rPr>
        <w:t>titrisés</w:t>
      </w:r>
      <w:proofErr w:type="spellEnd"/>
      <w:r w:rsidRPr="00E22C25">
        <w:rPr>
          <w:sz w:val="20"/>
          <w:szCs w:val="20"/>
        </w:rPr>
        <w:t>, consentis en franchise de fonds propr</w:t>
      </w:r>
      <w:r w:rsidR="00230C7F" w:rsidRPr="00E22C25">
        <w:rPr>
          <w:sz w:val="20"/>
          <w:szCs w:val="20"/>
        </w:rPr>
        <w:t>es, s'élevait déjà aux États-Unis</w:t>
      </w:r>
      <w:r w:rsidRPr="00E22C25">
        <w:rPr>
          <w:sz w:val="20"/>
          <w:szCs w:val="20"/>
        </w:rPr>
        <w:t xml:space="preserve"> à 2 000 milliards de do</w:t>
      </w:r>
      <w:r w:rsidR="00230C7F" w:rsidRPr="00E22C25">
        <w:rPr>
          <w:sz w:val="20"/>
          <w:szCs w:val="20"/>
        </w:rPr>
        <w:t>llars contre 200 en Europe et 58 en France. En</w:t>
      </w:r>
      <w:r w:rsidRPr="00E22C25">
        <w:rPr>
          <w:sz w:val="20"/>
          <w:szCs w:val="20"/>
        </w:rPr>
        <w:t xml:space="preserve"> admettant que la pondération de ces crédits, s'ils étaient restés </w:t>
      </w:r>
      <w:proofErr w:type="spellStart"/>
      <w:r w:rsidRPr="00E22C25">
        <w:rPr>
          <w:sz w:val="20"/>
          <w:szCs w:val="20"/>
        </w:rPr>
        <w:t>interméd</w:t>
      </w:r>
      <w:r w:rsidR="00230C7F" w:rsidRPr="00E22C25">
        <w:rPr>
          <w:sz w:val="20"/>
          <w:szCs w:val="20"/>
        </w:rPr>
        <w:t>iés</w:t>
      </w:r>
      <w:proofErr w:type="spellEnd"/>
      <w:r w:rsidR="00230C7F" w:rsidRPr="00E22C25">
        <w:rPr>
          <w:sz w:val="20"/>
          <w:szCs w:val="20"/>
        </w:rPr>
        <w:t xml:space="preserve"> par les banques, ait été de 50</w:t>
      </w:r>
      <w:r w:rsidRPr="00E22C25">
        <w:rPr>
          <w:sz w:val="20"/>
          <w:szCs w:val="20"/>
        </w:rPr>
        <w:t xml:space="preserve"> %, c'est respectivement 80 et 8 milliards de fonds propres qui auraient pu être économi</w:t>
      </w:r>
      <w:r w:rsidR="00230C7F" w:rsidRPr="00E22C25">
        <w:rPr>
          <w:sz w:val="20"/>
          <w:szCs w:val="20"/>
        </w:rPr>
        <w:t>sés par la titrisation</w:t>
      </w:r>
      <w:r w:rsidRPr="00E22C25">
        <w:rPr>
          <w:sz w:val="20"/>
          <w:szCs w:val="20"/>
        </w:rPr>
        <w:t xml:space="preserve"> et les résultats financiers (résultat net comptable/fonds propres), les « </w:t>
      </w:r>
      <w:r w:rsidR="00230C7F" w:rsidRPr="00E22C25">
        <w:rPr>
          <w:i/>
          <w:iCs/>
          <w:sz w:val="20"/>
          <w:szCs w:val="20"/>
        </w:rPr>
        <w:t xml:space="preserve">return on </w:t>
      </w:r>
      <w:proofErr w:type="spellStart"/>
      <w:r w:rsidR="00230C7F" w:rsidRPr="00E22C25">
        <w:rPr>
          <w:i/>
          <w:iCs/>
          <w:sz w:val="20"/>
          <w:szCs w:val="20"/>
        </w:rPr>
        <w:t>equiti</w:t>
      </w:r>
      <w:proofErr w:type="spellEnd"/>
      <w:r w:rsidRPr="00E22C25">
        <w:rPr>
          <w:i/>
          <w:iCs/>
          <w:sz w:val="20"/>
          <w:szCs w:val="20"/>
        </w:rPr>
        <w:t xml:space="preserve"> </w:t>
      </w:r>
      <w:r w:rsidRPr="00E22C25">
        <w:rPr>
          <w:i/>
          <w:sz w:val="20"/>
          <w:szCs w:val="20"/>
        </w:rPr>
        <w:t xml:space="preserve">(ROE) </w:t>
      </w:r>
      <w:r w:rsidRPr="00E22C25">
        <w:rPr>
          <w:sz w:val="20"/>
          <w:szCs w:val="20"/>
        </w:rPr>
        <w:t xml:space="preserve">» auraient pu être ainsi améliorés. </w:t>
      </w:r>
    </w:p>
    <w:p w:rsidR="00D83B63" w:rsidRPr="00E22C25" w:rsidRDefault="00D83B63" w:rsidP="00E22C25">
      <w:pPr>
        <w:pStyle w:val="Style"/>
        <w:ind w:left="9" w:right="19" w:firstLine="388"/>
        <w:jc w:val="both"/>
        <w:rPr>
          <w:i/>
          <w:iCs/>
          <w:sz w:val="20"/>
          <w:szCs w:val="20"/>
        </w:rPr>
      </w:pPr>
      <w:r w:rsidRPr="00E22C25">
        <w:rPr>
          <w:sz w:val="20"/>
          <w:szCs w:val="20"/>
        </w:rPr>
        <w:t xml:space="preserve">Un pas supplémentaire allait être franchi avec l'encouragement donné à une extension de cette titrisation grâce au développement du marché des </w:t>
      </w:r>
      <w:r w:rsidR="00F700BA" w:rsidRPr="00E22C25">
        <w:rPr>
          <w:sz w:val="20"/>
          <w:szCs w:val="20"/>
        </w:rPr>
        <w:t xml:space="preserve">« </w:t>
      </w:r>
      <w:r w:rsidRPr="00E22C25">
        <w:rPr>
          <w:sz w:val="20"/>
          <w:szCs w:val="20"/>
        </w:rPr>
        <w:t xml:space="preserve">dérivés de crédit </w:t>
      </w:r>
      <w:r w:rsidR="00F700BA" w:rsidRPr="00E22C25">
        <w:rPr>
          <w:i/>
          <w:iCs/>
          <w:sz w:val="20"/>
          <w:szCs w:val="20"/>
        </w:rPr>
        <w:t>»</w:t>
      </w:r>
      <w:r w:rsidRPr="00E22C25">
        <w:rPr>
          <w:i/>
          <w:iCs/>
          <w:sz w:val="20"/>
          <w:szCs w:val="20"/>
        </w:rPr>
        <w:t xml:space="preserve">, </w:t>
      </w:r>
      <w:r w:rsidR="00F700BA" w:rsidRPr="00E22C25">
        <w:rPr>
          <w:sz w:val="20"/>
          <w:szCs w:val="20"/>
        </w:rPr>
        <w:t>l</w:t>
      </w:r>
      <w:r w:rsidRPr="00E22C25">
        <w:rPr>
          <w:sz w:val="20"/>
          <w:szCs w:val="20"/>
        </w:rPr>
        <w:t xml:space="preserve">a contagion du risque a en effet </w:t>
      </w:r>
      <w:r w:rsidRPr="00E22C25">
        <w:rPr>
          <w:i/>
          <w:iCs/>
          <w:sz w:val="20"/>
          <w:szCs w:val="20"/>
        </w:rPr>
        <w:t xml:space="preserve">été </w:t>
      </w:r>
      <w:r w:rsidRPr="00E22C25">
        <w:rPr>
          <w:sz w:val="20"/>
          <w:szCs w:val="20"/>
        </w:rPr>
        <w:t xml:space="preserve">renforcée par la possibilité donnée à ces véhicules spécialisés dans le portage du risque de crédit (SPV pour </w:t>
      </w:r>
      <w:proofErr w:type="spellStart"/>
      <w:r w:rsidR="00F700BA" w:rsidRPr="00E22C25">
        <w:rPr>
          <w:i/>
          <w:iCs/>
          <w:sz w:val="20"/>
          <w:szCs w:val="20"/>
        </w:rPr>
        <w:t>Special</w:t>
      </w:r>
      <w:proofErr w:type="spellEnd"/>
      <w:r w:rsidR="00F700BA" w:rsidRPr="00E22C25">
        <w:rPr>
          <w:i/>
          <w:iCs/>
          <w:sz w:val="20"/>
          <w:szCs w:val="20"/>
        </w:rPr>
        <w:t xml:space="preserve"> </w:t>
      </w:r>
      <w:proofErr w:type="spellStart"/>
      <w:r w:rsidR="00F700BA" w:rsidRPr="00E22C25">
        <w:rPr>
          <w:i/>
          <w:iCs/>
          <w:sz w:val="20"/>
          <w:szCs w:val="20"/>
        </w:rPr>
        <w:t>Purpose</w:t>
      </w:r>
      <w:proofErr w:type="spellEnd"/>
      <w:r w:rsidR="00F700BA" w:rsidRPr="00E22C25">
        <w:rPr>
          <w:i/>
          <w:iCs/>
          <w:sz w:val="20"/>
          <w:szCs w:val="20"/>
        </w:rPr>
        <w:t xml:space="preserve"> </w:t>
      </w:r>
      <w:proofErr w:type="spellStart"/>
      <w:r w:rsidR="00F700BA" w:rsidRPr="00E22C25">
        <w:rPr>
          <w:i/>
          <w:iCs/>
          <w:sz w:val="20"/>
          <w:szCs w:val="20"/>
        </w:rPr>
        <w:t>Vehicle</w:t>
      </w:r>
      <w:proofErr w:type="spellEnd"/>
      <w:r w:rsidRPr="00E22C25">
        <w:rPr>
          <w:i/>
          <w:iCs/>
          <w:sz w:val="20"/>
          <w:szCs w:val="20"/>
        </w:rPr>
        <w:t xml:space="preserve">) </w:t>
      </w:r>
      <w:r w:rsidRPr="00E22C25">
        <w:rPr>
          <w:sz w:val="20"/>
          <w:szCs w:val="20"/>
        </w:rPr>
        <w:t xml:space="preserve">d'émettre des obligations en contrepartie de paquets d'actifs </w:t>
      </w:r>
      <w:r w:rsidR="00F700BA" w:rsidRPr="00E22C25">
        <w:rPr>
          <w:i/>
          <w:iCs/>
          <w:sz w:val="20"/>
          <w:szCs w:val="20"/>
        </w:rPr>
        <w:t>(</w:t>
      </w:r>
      <w:proofErr w:type="spellStart"/>
      <w:r w:rsidRPr="00E22C25">
        <w:rPr>
          <w:i/>
          <w:iCs/>
          <w:sz w:val="20"/>
          <w:szCs w:val="20"/>
        </w:rPr>
        <w:t>Asset</w:t>
      </w:r>
      <w:proofErr w:type="spellEnd"/>
      <w:r w:rsidRPr="00E22C25">
        <w:rPr>
          <w:i/>
          <w:iCs/>
          <w:sz w:val="20"/>
          <w:szCs w:val="20"/>
        </w:rPr>
        <w:t xml:space="preserve"> </w:t>
      </w:r>
      <w:proofErr w:type="spellStart"/>
      <w:r w:rsidRPr="00E22C25">
        <w:rPr>
          <w:i/>
          <w:iCs/>
          <w:sz w:val="20"/>
          <w:szCs w:val="20"/>
        </w:rPr>
        <w:t>Backed</w:t>
      </w:r>
      <w:proofErr w:type="spellEnd"/>
      <w:r w:rsidRPr="00E22C25">
        <w:rPr>
          <w:i/>
          <w:iCs/>
          <w:sz w:val="20"/>
          <w:szCs w:val="20"/>
        </w:rPr>
        <w:t xml:space="preserve"> Securities </w:t>
      </w:r>
      <w:r w:rsidRPr="00E22C25">
        <w:rPr>
          <w:sz w:val="20"/>
          <w:szCs w:val="20"/>
        </w:rPr>
        <w:t xml:space="preserve">ou ABS). Ces dernières ont, elles-mêmes, </w:t>
      </w:r>
      <w:r w:rsidRPr="00E22C25">
        <w:rPr>
          <w:iCs/>
          <w:sz w:val="20"/>
          <w:szCs w:val="20"/>
        </w:rPr>
        <w:t xml:space="preserve">été </w:t>
      </w:r>
      <w:r w:rsidRPr="00E22C25">
        <w:rPr>
          <w:sz w:val="20"/>
          <w:szCs w:val="20"/>
        </w:rPr>
        <w:t xml:space="preserve">découpées en tranches plus ou </w:t>
      </w:r>
      <w:r w:rsidR="00F700BA" w:rsidRPr="00E22C25">
        <w:rPr>
          <w:sz w:val="20"/>
          <w:szCs w:val="20"/>
        </w:rPr>
        <w:t xml:space="preserve">moins </w:t>
      </w:r>
      <w:r w:rsidRPr="00E22C25">
        <w:rPr>
          <w:sz w:val="20"/>
          <w:szCs w:val="20"/>
        </w:rPr>
        <w:t xml:space="preserve">rémunératrices selon leur niveau de risque. L'apparence du risque était diminuée par le fait que le « </w:t>
      </w:r>
      <w:proofErr w:type="spellStart"/>
      <w:r w:rsidR="00F700BA" w:rsidRPr="00E22C25">
        <w:rPr>
          <w:i/>
          <w:iCs/>
          <w:sz w:val="20"/>
          <w:szCs w:val="20"/>
        </w:rPr>
        <w:t>packaqinq</w:t>
      </w:r>
      <w:proofErr w:type="spellEnd"/>
      <w:r w:rsidR="00F700BA" w:rsidRPr="00E22C25">
        <w:rPr>
          <w:i/>
          <w:iCs/>
          <w:sz w:val="20"/>
          <w:szCs w:val="20"/>
        </w:rPr>
        <w:t> »</w:t>
      </w:r>
      <w:r w:rsidRPr="00E22C25">
        <w:rPr>
          <w:sz w:val="20"/>
          <w:szCs w:val="20"/>
        </w:rPr>
        <w:t xml:space="preserve">, des crédits était censé mutualiser ce risque, et également du fait que ces émissions étaient notées par les agences de </w:t>
      </w:r>
      <w:r w:rsidR="00F700BA" w:rsidRPr="00E22C25">
        <w:rPr>
          <w:i/>
          <w:iCs/>
          <w:sz w:val="20"/>
          <w:szCs w:val="20"/>
        </w:rPr>
        <w:t>rat</w:t>
      </w:r>
      <w:r w:rsidRPr="00E22C25">
        <w:rPr>
          <w:i/>
          <w:iCs/>
          <w:sz w:val="20"/>
          <w:szCs w:val="20"/>
        </w:rPr>
        <w:t>in</w:t>
      </w:r>
      <w:r w:rsidR="00F700BA" w:rsidRPr="00E22C25">
        <w:rPr>
          <w:i/>
          <w:iCs/>
          <w:sz w:val="20"/>
          <w:szCs w:val="20"/>
        </w:rPr>
        <w:t>g</w:t>
      </w:r>
      <w:r w:rsidRPr="00E22C25">
        <w:rPr>
          <w:i/>
          <w:iCs/>
          <w:sz w:val="20"/>
          <w:szCs w:val="20"/>
        </w:rPr>
        <w:t xml:space="preserve">, </w:t>
      </w:r>
      <w:r w:rsidRPr="00E22C25">
        <w:rPr>
          <w:sz w:val="20"/>
          <w:szCs w:val="20"/>
        </w:rPr>
        <w:t>qui tenaient compte de la couverture de ces émissions par</w:t>
      </w:r>
      <w:r w:rsidR="00F700BA" w:rsidRPr="00E22C25">
        <w:rPr>
          <w:sz w:val="20"/>
          <w:szCs w:val="20"/>
        </w:rPr>
        <w:t xml:space="preserve"> des assureurs spécialisés. M</w:t>
      </w:r>
      <w:r w:rsidRPr="00E22C25">
        <w:rPr>
          <w:sz w:val="20"/>
          <w:szCs w:val="20"/>
        </w:rPr>
        <w:t xml:space="preserve">ais le modèle économique de ce beau montage ne pouvait résister qu'à des pertes limitées sur les crédits à la base de la pyramide. Or ces crédits, le plus souvent immobiliers pour avoir la durée suffisante justifiant de tels montages, étaient justement par définition </w:t>
      </w:r>
      <w:proofErr w:type="spellStart"/>
      <w:r w:rsidRPr="00E22C25">
        <w:rPr>
          <w:i/>
          <w:iCs/>
          <w:sz w:val="20"/>
          <w:szCs w:val="20"/>
        </w:rPr>
        <w:t>subprime</w:t>
      </w:r>
      <w:proofErr w:type="spellEnd"/>
      <w:r w:rsidRPr="00E22C25">
        <w:rPr>
          <w:i/>
          <w:iCs/>
          <w:sz w:val="20"/>
          <w:szCs w:val="20"/>
        </w:rPr>
        <w:t xml:space="preserve">, </w:t>
      </w:r>
      <w:r w:rsidRPr="00E22C25">
        <w:rPr>
          <w:sz w:val="20"/>
          <w:szCs w:val="20"/>
        </w:rPr>
        <w:t xml:space="preserve">de mauvaise qualité, et donc structurellement incompatibles avec la pérennité d'un tel </w:t>
      </w:r>
      <w:r w:rsidRPr="00E22C25">
        <w:rPr>
          <w:i/>
          <w:iCs/>
          <w:sz w:val="20"/>
          <w:szCs w:val="20"/>
        </w:rPr>
        <w:t xml:space="preserve">business model. </w:t>
      </w:r>
    </w:p>
    <w:p w:rsidR="00D83B63" w:rsidRPr="00E22C25" w:rsidRDefault="00D83B63" w:rsidP="00E22C25">
      <w:pPr>
        <w:pStyle w:val="Style"/>
        <w:ind w:left="9" w:right="19" w:firstLine="388"/>
        <w:jc w:val="both"/>
        <w:rPr>
          <w:sz w:val="20"/>
          <w:szCs w:val="20"/>
        </w:rPr>
      </w:pPr>
      <w:r w:rsidRPr="00E22C25">
        <w:rPr>
          <w:sz w:val="20"/>
          <w:szCs w:val="20"/>
        </w:rPr>
        <w:t>Pour autant, l'ingéniosité des montage</w:t>
      </w:r>
      <w:r w:rsidR="00F700BA" w:rsidRPr="00E22C25">
        <w:rPr>
          <w:sz w:val="20"/>
          <w:szCs w:val="20"/>
        </w:rPr>
        <w:t>s autorisés a été</w:t>
      </w:r>
      <w:r w:rsidRPr="00E22C25">
        <w:rPr>
          <w:sz w:val="20"/>
          <w:szCs w:val="20"/>
        </w:rPr>
        <w:t xml:space="preserve"> poussée un cran plus loin. Car les investisseurs des obligations ABS décrites ci-dessus n'ache</w:t>
      </w:r>
      <w:r w:rsidR="00F700BA" w:rsidRPr="00E22C25">
        <w:rPr>
          <w:sz w:val="20"/>
          <w:szCs w:val="20"/>
        </w:rPr>
        <w:t>taient pas tous au comptant, m</w:t>
      </w:r>
      <w:r w:rsidRPr="00E22C25">
        <w:rPr>
          <w:sz w:val="20"/>
          <w:szCs w:val="20"/>
        </w:rPr>
        <w:t>ais en s'endettant pour rentabiliser l'opération en maximisa</w:t>
      </w:r>
      <w:r w:rsidR="00F700BA" w:rsidRPr="00E22C25">
        <w:rPr>
          <w:sz w:val="20"/>
          <w:szCs w:val="20"/>
        </w:rPr>
        <w:t>nt l'effet de levier sur leur m</w:t>
      </w:r>
      <w:r w:rsidRPr="00E22C25">
        <w:rPr>
          <w:sz w:val="20"/>
          <w:szCs w:val="20"/>
        </w:rPr>
        <w:t xml:space="preserve">ise initiale lié à l'écart positif (le </w:t>
      </w:r>
      <w:r w:rsidRPr="00E22C25">
        <w:rPr>
          <w:i/>
          <w:iCs/>
          <w:sz w:val="20"/>
          <w:szCs w:val="20"/>
        </w:rPr>
        <w:t xml:space="preserve">spread) </w:t>
      </w:r>
      <w:r w:rsidRPr="00E22C25">
        <w:rPr>
          <w:sz w:val="20"/>
          <w:szCs w:val="20"/>
        </w:rPr>
        <w:t>entre le rendement de l'ARS et</w:t>
      </w:r>
      <w:r w:rsidR="00F700BA" w:rsidRPr="00E22C25">
        <w:rPr>
          <w:sz w:val="20"/>
          <w:szCs w:val="20"/>
        </w:rPr>
        <w:t xml:space="preserve"> le taux d'intérêt de l'emprunt.</w:t>
      </w:r>
      <w:r w:rsidRPr="00E22C25">
        <w:rPr>
          <w:sz w:val="20"/>
          <w:szCs w:val="20"/>
        </w:rPr>
        <w:t xml:space="preserve"> Pour faciliter le montage financier, ces opérateurs ont réalisé une titrisation au second degré sous forme de </w:t>
      </w:r>
      <w:proofErr w:type="spellStart"/>
      <w:r w:rsidR="00F700BA" w:rsidRPr="00E22C25">
        <w:rPr>
          <w:i/>
          <w:iCs/>
          <w:sz w:val="20"/>
          <w:szCs w:val="20"/>
        </w:rPr>
        <w:t>Special</w:t>
      </w:r>
      <w:proofErr w:type="spellEnd"/>
      <w:r w:rsidR="00F700BA" w:rsidRPr="00E22C25">
        <w:rPr>
          <w:i/>
          <w:iCs/>
          <w:sz w:val="20"/>
          <w:szCs w:val="20"/>
        </w:rPr>
        <w:t xml:space="preserve"> Inv</w:t>
      </w:r>
      <w:r w:rsidRPr="00E22C25">
        <w:rPr>
          <w:i/>
          <w:iCs/>
          <w:sz w:val="20"/>
          <w:szCs w:val="20"/>
        </w:rPr>
        <w:t>e</w:t>
      </w:r>
      <w:r w:rsidR="00F700BA" w:rsidRPr="00E22C25">
        <w:rPr>
          <w:i/>
          <w:iCs/>
          <w:sz w:val="20"/>
          <w:szCs w:val="20"/>
        </w:rPr>
        <w:t xml:space="preserve">stment </w:t>
      </w:r>
      <w:proofErr w:type="spellStart"/>
      <w:r w:rsidR="00F700BA" w:rsidRPr="00E22C25">
        <w:rPr>
          <w:i/>
          <w:iCs/>
          <w:sz w:val="20"/>
          <w:szCs w:val="20"/>
        </w:rPr>
        <w:t>Vehicl</w:t>
      </w:r>
      <w:r w:rsidRPr="00E22C25">
        <w:rPr>
          <w:i/>
          <w:iCs/>
          <w:sz w:val="20"/>
          <w:szCs w:val="20"/>
        </w:rPr>
        <w:t>e</w:t>
      </w:r>
      <w:r w:rsidR="00893E5D">
        <w:rPr>
          <w:i/>
          <w:iCs/>
          <w:sz w:val="20"/>
          <w:szCs w:val="20"/>
        </w:rPr>
        <w:t>s</w:t>
      </w:r>
      <w:proofErr w:type="spellEnd"/>
      <w:r w:rsidRPr="00E22C25">
        <w:rPr>
          <w:i/>
          <w:iCs/>
          <w:sz w:val="20"/>
          <w:szCs w:val="20"/>
        </w:rPr>
        <w:t xml:space="preserve"> </w:t>
      </w:r>
      <w:r w:rsidRPr="00E22C25">
        <w:rPr>
          <w:sz w:val="20"/>
          <w:szCs w:val="20"/>
        </w:rPr>
        <w:t>(SIV) appelés en français</w:t>
      </w:r>
      <w:r w:rsidR="00A11511">
        <w:rPr>
          <w:sz w:val="20"/>
          <w:szCs w:val="20"/>
        </w:rPr>
        <w:t xml:space="preserve"> </w:t>
      </w:r>
      <w:r w:rsidR="00893E5D">
        <w:rPr>
          <w:sz w:val="20"/>
          <w:szCs w:val="20"/>
        </w:rPr>
        <w:t>« </w:t>
      </w:r>
      <w:r w:rsidR="00F700BA" w:rsidRPr="00E22C25">
        <w:rPr>
          <w:sz w:val="20"/>
          <w:szCs w:val="20"/>
        </w:rPr>
        <w:t xml:space="preserve">conduits ». </w:t>
      </w:r>
      <w:r w:rsidR="00893E5D">
        <w:rPr>
          <w:sz w:val="20"/>
          <w:szCs w:val="20"/>
        </w:rPr>
        <w:t xml:space="preserve">Plus de 1 </w:t>
      </w:r>
      <w:r w:rsidRPr="00E22C25">
        <w:rPr>
          <w:sz w:val="20"/>
          <w:szCs w:val="20"/>
        </w:rPr>
        <w:t xml:space="preserve">000 milliards de dollars en auraient </w:t>
      </w:r>
      <w:r w:rsidRPr="00E22C25">
        <w:rPr>
          <w:iCs/>
          <w:sz w:val="20"/>
          <w:szCs w:val="20"/>
        </w:rPr>
        <w:t xml:space="preserve">été </w:t>
      </w:r>
      <w:r w:rsidRPr="00E22C25">
        <w:rPr>
          <w:sz w:val="20"/>
          <w:szCs w:val="20"/>
        </w:rPr>
        <w:t>émis</w:t>
      </w:r>
      <w:r w:rsidR="000C7E63">
        <w:rPr>
          <w:sz w:val="20"/>
          <w:szCs w:val="20"/>
        </w:rPr>
        <w:t>.</w:t>
      </w:r>
      <w:r w:rsidRPr="00E22C25">
        <w:rPr>
          <w:sz w:val="20"/>
          <w:szCs w:val="20"/>
        </w:rPr>
        <w:t xml:space="preserve"> </w:t>
      </w:r>
    </w:p>
    <w:p w:rsidR="00230C7F" w:rsidRPr="00E22C25" w:rsidRDefault="00D83B63" w:rsidP="00D87EF8">
      <w:pPr>
        <w:pStyle w:val="Style"/>
        <w:ind w:left="9" w:right="19" w:firstLine="388"/>
        <w:jc w:val="both"/>
        <w:rPr>
          <w:sz w:val="20"/>
          <w:szCs w:val="20"/>
        </w:rPr>
      </w:pPr>
      <w:r w:rsidRPr="00E22C25">
        <w:rPr>
          <w:sz w:val="20"/>
          <w:szCs w:val="20"/>
        </w:rPr>
        <w:t xml:space="preserve">Enfin, le sommet du raffinement dans l'externalisation du risque de crédit, et dans le contournement autorisé de la réglementation sur la solvabilité bancaire, serait atteint </w:t>
      </w:r>
      <w:r w:rsidRPr="00E22C25">
        <w:rPr>
          <w:iCs/>
          <w:sz w:val="20"/>
          <w:szCs w:val="20"/>
        </w:rPr>
        <w:t xml:space="preserve">avec </w:t>
      </w:r>
      <w:r w:rsidRPr="00E22C25">
        <w:rPr>
          <w:sz w:val="20"/>
          <w:szCs w:val="20"/>
        </w:rPr>
        <w:t>la pro</w:t>
      </w:r>
      <w:r w:rsidR="00070FE8" w:rsidRPr="00E22C25">
        <w:rPr>
          <w:sz w:val="20"/>
          <w:szCs w:val="20"/>
        </w:rPr>
        <w:t>pagation des « </w:t>
      </w:r>
      <w:r w:rsidRPr="00E22C25">
        <w:rPr>
          <w:sz w:val="20"/>
          <w:szCs w:val="20"/>
        </w:rPr>
        <w:t xml:space="preserve">échanges de risque de crédit », les fameux CDS pour </w:t>
      </w:r>
      <w:proofErr w:type="spellStart"/>
      <w:r w:rsidR="00070FE8" w:rsidRPr="00E22C25">
        <w:rPr>
          <w:i/>
          <w:iCs/>
          <w:sz w:val="20"/>
          <w:szCs w:val="20"/>
        </w:rPr>
        <w:t>Credit</w:t>
      </w:r>
      <w:proofErr w:type="spellEnd"/>
      <w:r w:rsidR="00070FE8" w:rsidRPr="00E22C25">
        <w:rPr>
          <w:i/>
          <w:iCs/>
          <w:sz w:val="20"/>
          <w:szCs w:val="20"/>
        </w:rPr>
        <w:t xml:space="preserve"> Def</w:t>
      </w:r>
      <w:r w:rsidRPr="00E22C25">
        <w:rPr>
          <w:i/>
          <w:iCs/>
          <w:sz w:val="20"/>
          <w:szCs w:val="20"/>
        </w:rPr>
        <w:t xml:space="preserve">ault </w:t>
      </w:r>
      <w:r w:rsidR="00070FE8" w:rsidRPr="00E22C25">
        <w:rPr>
          <w:i/>
          <w:iCs/>
          <w:sz w:val="20"/>
          <w:szCs w:val="20"/>
        </w:rPr>
        <w:t xml:space="preserve">Swap. </w:t>
      </w:r>
      <w:r w:rsidRPr="00E22C25">
        <w:rPr>
          <w:sz w:val="20"/>
          <w:szCs w:val="20"/>
        </w:rPr>
        <w:t xml:space="preserve">Les CDS permettent au banquier </w:t>
      </w:r>
      <w:proofErr w:type="spellStart"/>
      <w:r w:rsidRPr="00E22C25">
        <w:rPr>
          <w:sz w:val="20"/>
          <w:szCs w:val="20"/>
        </w:rPr>
        <w:t>originateur</w:t>
      </w:r>
      <w:proofErr w:type="spellEnd"/>
      <w:r w:rsidRPr="00E22C25">
        <w:rPr>
          <w:sz w:val="20"/>
          <w:szCs w:val="20"/>
        </w:rPr>
        <w:t xml:space="preserve"> de se débarrasser du risque de crédit en le vendant (c'est-à-dire en </w:t>
      </w:r>
      <w:r w:rsidR="00070FE8" w:rsidRPr="00E22C25">
        <w:rPr>
          <w:sz w:val="20"/>
          <w:szCs w:val="20"/>
        </w:rPr>
        <w:t>achetant une protection) tout en</w:t>
      </w:r>
      <w:r w:rsidRPr="00E22C25">
        <w:rPr>
          <w:sz w:val="20"/>
          <w:szCs w:val="20"/>
        </w:rPr>
        <w:t xml:space="preserve"> gardant le crédit à son bilan. Pour cela il paie une prime de couverture de ce risque à l'acheteur du risque de crédit. C'est</w:t>
      </w:r>
      <w:r w:rsidR="00230C7F" w:rsidRPr="00E22C25">
        <w:rPr>
          <w:sz w:val="20"/>
          <w:szCs w:val="20"/>
        </w:rPr>
        <w:t xml:space="preserve">  l' « </w:t>
      </w:r>
      <w:r w:rsidR="00070FE8" w:rsidRPr="00E22C25">
        <w:rPr>
          <w:sz w:val="20"/>
          <w:szCs w:val="20"/>
        </w:rPr>
        <w:t>externalisation »</w:t>
      </w:r>
      <w:r w:rsidR="00230C7F" w:rsidRPr="00E22C25">
        <w:rPr>
          <w:sz w:val="20"/>
          <w:szCs w:val="20"/>
        </w:rPr>
        <w:t xml:space="preserve"> du risque, le nec plus ultra de la finance où institutions et marchés ouvrent des champs de coopération nouveaux. Le vendeur garde sa rémunération diminuée de la valeur de la prime et l'acheteur gagne sa vie sur un crédit dont il porte le risque sans avoir à s'embarrasser de le produire et à investir lourdement dans ce but. Les deux sont </w:t>
      </w:r>
      <w:r w:rsidR="00070FE8" w:rsidRPr="00E22C25">
        <w:rPr>
          <w:sz w:val="20"/>
          <w:szCs w:val="20"/>
        </w:rPr>
        <w:t>donc gagnants, surtout si ce « </w:t>
      </w:r>
      <w:r w:rsidR="00070FE8" w:rsidRPr="00E22C25">
        <w:rPr>
          <w:i/>
          <w:iCs/>
          <w:sz w:val="20"/>
          <w:szCs w:val="20"/>
        </w:rPr>
        <w:t xml:space="preserve">business » </w:t>
      </w:r>
      <w:r w:rsidR="00230C7F" w:rsidRPr="00E22C25">
        <w:rPr>
          <w:sz w:val="20"/>
          <w:szCs w:val="20"/>
        </w:rPr>
        <w:t xml:space="preserve"> prend de l'ampleur et tant que l'occurrence du défaut ne se produit pas. Et comment ne prendrait-il pas de l'ampleur puisque par ce montage les deux parties échappent au besoin en capital exigé par la réglementation sur la solvabilité bancaire et bénéficient d'un effet de levier important à capitaux propres inchangés. Le CDS est apparu de ce fait comme une véritable martingale permettant de faire du crédit sans risque apparent de contrepartie et sans capital. </w:t>
      </w:r>
    </w:p>
    <w:p w:rsidR="00230C7F" w:rsidRDefault="00230C7F" w:rsidP="004F29C7">
      <w:pPr>
        <w:pStyle w:val="Style"/>
        <w:ind w:firstLine="388"/>
        <w:jc w:val="both"/>
        <w:rPr>
          <w:sz w:val="20"/>
          <w:szCs w:val="20"/>
        </w:rPr>
      </w:pPr>
      <w:r w:rsidRPr="00E22C25">
        <w:rPr>
          <w:sz w:val="20"/>
          <w:szCs w:val="20"/>
        </w:rPr>
        <w:t xml:space="preserve">Ce fut donc en très peu d'années l'emballement des CDS, jusqu'à ce que la </w:t>
      </w:r>
      <w:r w:rsidR="00070FE8" w:rsidRPr="00E22C25">
        <w:rPr>
          <w:sz w:val="20"/>
          <w:szCs w:val="20"/>
        </w:rPr>
        <w:t>« </w:t>
      </w:r>
      <w:r w:rsidRPr="00E22C25">
        <w:rPr>
          <w:sz w:val="20"/>
          <w:szCs w:val="20"/>
        </w:rPr>
        <w:t>qualité</w:t>
      </w:r>
      <w:r w:rsidR="00070FE8" w:rsidRPr="00E22C25">
        <w:rPr>
          <w:sz w:val="20"/>
          <w:szCs w:val="20"/>
        </w:rPr>
        <w:t> »</w:t>
      </w:r>
      <w:r w:rsidRPr="00E22C25">
        <w:rPr>
          <w:sz w:val="20"/>
          <w:szCs w:val="20"/>
        </w:rPr>
        <w:t xml:space="preserve"> douteuse des crédits sous-jacents apparaisse en plein jo</w:t>
      </w:r>
      <w:r w:rsidR="00070FE8" w:rsidRPr="00E22C25">
        <w:rPr>
          <w:sz w:val="20"/>
          <w:szCs w:val="20"/>
        </w:rPr>
        <w:t>ur et que la multiplication des</w:t>
      </w:r>
      <w:r w:rsidRPr="00E22C25">
        <w:rPr>
          <w:sz w:val="20"/>
          <w:szCs w:val="20"/>
        </w:rPr>
        <w:t xml:space="preserve"> défauts de remboursement agisse </w:t>
      </w:r>
      <w:r w:rsidR="00070FE8" w:rsidRPr="00E22C25">
        <w:rPr>
          <w:sz w:val="20"/>
          <w:szCs w:val="20"/>
        </w:rPr>
        <w:t>à</w:t>
      </w:r>
      <w:r w:rsidRPr="00E22C25">
        <w:rPr>
          <w:sz w:val="20"/>
          <w:szCs w:val="20"/>
        </w:rPr>
        <w:t xml:space="preserve"> la manière d'une mèche qui s'allume sur une poudrière. Car le vendeur de protecti</w:t>
      </w:r>
      <w:r w:rsidR="00070FE8" w:rsidRPr="00E22C25">
        <w:rPr>
          <w:sz w:val="20"/>
          <w:szCs w:val="20"/>
        </w:rPr>
        <w:t>on s'engage à payer, en cas de</w:t>
      </w:r>
      <w:r w:rsidRPr="00E22C25">
        <w:rPr>
          <w:sz w:val="20"/>
          <w:szCs w:val="20"/>
        </w:rPr>
        <w:t xml:space="preserve"> défaut</w:t>
      </w:r>
      <w:r w:rsidR="00070FE8" w:rsidRPr="00E22C25">
        <w:rPr>
          <w:sz w:val="20"/>
          <w:szCs w:val="20"/>
        </w:rPr>
        <w:t xml:space="preserve"> de l'emprunteur initial, 100%</w:t>
      </w:r>
      <w:r w:rsidRPr="00E22C25">
        <w:rPr>
          <w:sz w:val="20"/>
          <w:szCs w:val="20"/>
        </w:rPr>
        <w:t xml:space="preserve"> du crédit qu'il </w:t>
      </w:r>
      <w:r w:rsidR="00070FE8" w:rsidRPr="00E22C25">
        <w:rPr>
          <w:sz w:val="20"/>
          <w:szCs w:val="20"/>
        </w:rPr>
        <w:t>a assuré. Le modèle peut de ce fait rapidement s'inverser et le rê</w:t>
      </w:r>
      <w:r w:rsidRPr="00E22C25">
        <w:rPr>
          <w:sz w:val="20"/>
          <w:szCs w:val="20"/>
        </w:rPr>
        <w:t>ve d'une rentabilité facile et récurrente tourner au cauchem</w:t>
      </w:r>
      <w:r w:rsidR="00893E5D">
        <w:rPr>
          <w:sz w:val="20"/>
          <w:szCs w:val="20"/>
        </w:rPr>
        <w:t>ar à répétition. C'est ainsi qu’</w:t>
      </w:r>
      <w:r w:rsidRPr="00E22C25">
        <w:rPr>
          <w:sz w:val="20"/>
          <w:szCs w:val="20"/>
        </w:rPr>
        <w:t>AIG, l'assureur américain traditionnellement</w:t>
      </w:r>
      <w:r w:rsidR="00070FE8" w:rsidRPr="00E22C25">
        <w:rPr>
          <w:sz w:val="20"/>
          <w:szCs w:val="20"/>
        </w:rPr>
        <w:t xml:space="preserve"> le plus rentable au m</w:t>
      </w:r>
      <w:r w:rsidRPr="00E22C25">
        <w:rPr>
          <w:sz w:val="20"/>
          <w:szCs w:val="20"/>
        </w:rPr>
        <w:t xml:space="preserve">onde, aurait dû </w:t>
      </w:r>
      <w:r w:rsidR="00070FE8" w:rsidRPr="00E22C25">
        <w:rPr>
          <w:sz w:val="20"/>
          <w:szCs w:val="20"/>
        </w:rPr>
        <w:t xml:space="preserve">faire faillite s'il n'avait été sauvé par l'État américain pour un coût exorbitant de </w:t>
      </w:r>
      <w:r w:rsidRPr="00E22C25">
        <w:rPr>
          <w:sz w:val="20"/>
          <w:szCs w:val="20"/>
        </w:rPr>
        <w:t xml:space="preserve">200 milliards de dollars. </w:t>
      </w:r>
    </w:p>
    <w:p w:rsidR="00893E5D" w:rsidRPr="00893E5D" w:rsidRDefault="00893E5D" w:rsidP="004F29C7">
      <w:pPr>
        <w:pStyle w:val="Style"/>
        <w:ind w:firstLine="388"/>
        <w:jc w:val="both"/>
        <w:rPr>
          <w:sz w:val="8"/>
          <w:szCs w:val="8"/>
        </w:rPr>
      </w:pPr>
    </w:p>
    <w:p w:rsidR="00FC475F" w:rsidRPr="00E22C25" w:rsidRDefault="00C569B7" w:rsidP="00697A97">
      <w:pPr>
        <w:pStyle w:val="Listepuces"/>
        <w:numPr>
          <w:ilvl w:val="0"/>
          <w:numId w:val="0"/>
        </w:numPr>
        <w:ind w:left="567"/>
        <w:jc w:val="right"/>
        <w:rPr>
          <w:rFonts w:ascii="Arial" w:eastAsiaTheme="minorEastAsia" w:hAnsi="Arial" w:cs="Arial"/>
          <w:sz w:val="20"/>
          <w:szCs w:val="20"/>
          <w:lang w:eastAsia="fr-FR"/>
        </w:rPr>
      </w:pPr>
      <w:r w:rsidRPr="00E22C25">
        <w:rPr>
          <w:rFonts w:ascii="Arial" w:hAnsi="Arial" w:cs="Arial"/>
          <w:sz w:val="20"/>
          <w:szCs w:val="20"/>
        </w:rPr>
        <w:t xml:space="preserve">P. </w:t>
      </w:r>
      <w:proofErr w:type="spellStart"/>
      <w:r w:rsidRPr="00E22C25">
        <w:rPr>
          <w:rFonts w:ascii="Arial" w:hAnsi="Arial" w:cs="Arial"/>
          <w:sz w:val="20"/>
          <w:szCs w:val="20"/>
        </w:rPr>
        <w:t>Simonnot</w:t>
      </w:r>
      <w:proofErr w:type="spellEnd"/>
      <w:r w:rsidRPr="00E22C25">
        <w:rPr>
          <w:rFonts w:ascii="Arial" w:hAnsi="Arial" w:cs="Arial"/>
          <w:sz w:val="20"/>
          <w:szCs w:val="20"/>
        </w:rPr>
        <w:t xml:space="preserve">, Ch. Le Lien, </w:t>
      </w:r>
      <w:r w:rsidRPr="00E22C25">
        <w:rPr>
          <w:rFonts w:ascii="Arial" w:hAnsi="Arial" w:cs="Arial"/>
          <w:i/>
          <w:sz w:val="20"/>
          <w:szCs w:val="20"/>
        </w:rPr>
        <w:t>La monnaie, histoire d’une imposture</w:t>
      </w:r>
      <w:r w:rsidRPr="00E22C25">
        <w:rPr>
          <w:rFonts w:ascii="Arial" w:hAnsi="Arial" w:cs="Arial"/>
          <w:sz w:val="20"/>
          <w:szCs w:val="20"/>
        </w:rPr>
        <w:t>, Perrin 2012</w:t>
      </w:r>
    </w:p>
    <w:p w:rsidR="00E91ECA" w:rsidRDefault="00E91ECA" w:rsidP="00E22C25">
      <w:pPr>
        <w:jc w:val="both"/>
        <w:rPr>
          <w:rFonts w:ascii="Arial" w:hAnsi="Arial" w:cs="Arial"/>
          <w:sz w:val="20"/>
          <w:szCs w:val="20"/>
        </w:rPr>
      </w:pPr>
    </w:p>
    <w:p w:rsidR="00CB4656" w:rsidRDefault="00CB4656">
      <w:pPr>
        <w:rPr>
          <w:rFonts w:ascii="Arial" w:hAnsi="Arial" w:cs="Arial"/>
          <w:b/>
          <w:sz w:val="20"/>
          <w:szCs w:val="20"/>
        </w:rPr>
      </w:pPr>
      <w:r>
        <w:rPr>
          <w:rFonts w:ascii="Arial" w:hAnsi="Arial" w:cs="Arial"/>
          <w:b/>
          <w:sz w:val="20"/>
          <w:szCs w:val="20"/>
        </w:rPr>
        <w:br w:type="page"/>
      </w:r>
    </w:p>
    <w:p w:rsidR="008D1C54" w:rsidRPr="00E91ECA" w:rsidRDefault="00E91ECA" w:rsidP="00E91ECA">
      <w:pPr>
        <w:jc w:val="center"/>
        <w:rPr>
          <w:rFonts w:ascii="Arial" w:hAnsi="Arial" w:cs="Arial"/>
          <w:b/>
          <w:sz w:val="20"/>
          <w:szCs w:val="20"/>
        </w:rPr>
      </w:pPr>
      <w:r w:rsidRPr="00E91ECA">
        <w:rPr>
          <w:rFonts w:ascii="Arial" w:hAnsi="Arial" w:cs="Arial"/>
          <w:b/>
          <w:sz w:val="20"/>
          <w:szCs w:val="20"/>
        </w:rPr>
        <w:lastRenderedPageBreak/>
        <w:t>Document </w:t>
      </w:r>
      <w:r w:rsidR="00CB4656">
        <w:rPr>
          <w:rFonts w:ascii="Arial" w:hAnsi="Arial" w:cs="Arial"/>
          <w:b/>
          <w:sz w:val="20"/>
          <w:szCs w:val="20"/>
        </w:rPr>
        <w:t xml:space="preserve">8 </w:t>
      </w:r>
      <w:r w:rsidRPr="00E91ECA">
        <w:rPr>
          <w:rFonts w:ascii="Arial" w:hAnsi="Arial" w:cs="Arial"/>
          <w:b/>
          <w:sz w:val="20"/>
          <w:szCs w:val="20"/>
        </w:rPr>
        <w:t>: évaluation des risques du système financier français, 1</w:t>
      </w:r>
      <w:r w:rsidRPr="00E91ECA">
        <w:rPr>
          <w:rFonts w:ascii="Arial" w:hAnsi="Arial" w:cs="Arial"/>
          <w:b/>
          <w:sz w:val="20"/>
          <w:szCs w:val="20"/>
          <w:vertAlign w:val="superscript"/>
        </w:rPr>
        <w:t>er</w:t>
      </w:r>
      <w:r w:rsidRPr="00E91ECA">
        <w:rPr>
          <w:rFonts w:ascii="Arial" w:hAnsi="Arial" w:cs="Arial"/>
          <w:b/>
          <w:sz w:val="20"/>
          <w:szCs w:val="20"/>
        </w:rPr>
        <w:t xml:space="preserve"> trimestre 2016</w:t>
      </w:r>
    </w:p>
    <w:p w:rsidR="00E91ECA" w:rsidRDefault="00E91ECA" w:rsidP="00D87EF8">
      <w:pPr>
        <w:spacing w:after="0"/>
        <w:jc w:val="center"/>
        <w:rPr>
          <w:rFonts w:ascii="Arial" w:hAnsi="Arial" w:cs="Arial"/>
          <w:sz w:val="20"/>
          <w:szCs w:val="20"/>
        </w:rPr>
      </w:pPr>
      <w:r>
        <w:rPr>
          <w:noProof/>
          <w:lang w:eastAsia="fr-FR"/>
        </w:rPr>
        <w:drawing>
          <wp:inline distT="0" distB="0" distL="0" distR="0" wp14:anchorId="7FAA4CE5" wp14:editId="2A5B01ED">
            <wp:extent cx="5685790" cy="437197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97684" cy="4381121"/>
                    </a:xfrm>
                    <a:prstGeom prst="rect">
                      <a:avLst/>
                    </a:prstGeom>
                  </pic:spPr>
                </pic:pic>
              </a:graphicData>
            </a:graphic>
          </wp:inline>
        </w:drawing>
      </w:r>
    </w:p>
    <w:p w:rsidR="00C92567" w:rsidRPr="00D87EF8" w:rsidRDefault="00D87EF8" w:rsidP="00D87EF8">
      <w:pPr>
        <w:spacing w:after="480"/>
        <w:rPr>
          <w:rFonts w:ascii="Arial" w:hAnsi="Arial" w:cs="Arial"/>
          <w:sz w:val="20"/>
          <w:szCs w:val="20"/>
        </w:rPr>
      </w:pPr>
      <w:r>
        <w:rPr>
          <w:rFonts w:ascii="Arial" w:hAnsi="Arial" w:cs="Arial"/>
          <w:sz w:val="20"/>
          <w:szCs w:val="20"/>
        </w:rPr>
        <w:t>Source : www.banque-france.fr</w:t>
      </w:r>
    </w:p>
    <w:p w:rsidR="00CC40D2" w:rsidRPr="00A11511" w:rsidRDefault="00D91216" w:rsidP="004F29C7">
      <w:pPr>
        <w:jc w:val="center"/>
        <w:rPr>
          <w:rFonts w:ascii="Arial" w:hAnsi="Arial" w:cs="Arial"/>
          <w:b/>
          <w:sz w:val="28"/>
          <w:szCs w:val="28"/>
        </w:rPr>
      </w:pPr>
      <w:r w:rsidRPr="00A11511">
        <w:rPr>
          <w:rFonts w:ascii="Arial" w:hAnsi="Arial" w:cs="Arial"/>
          <w:b/>
          <w:sz w:val="28"/>
          <w:szCs w:val="28"/>
        </w:rPr>
        <w:t>2.2 La Banque centrale et les évolutions de la politique monétaire</w:t>
      </w:r>
    </w:p>
    <w:p w:rsidR="00CC40D2" w:rsidRPr="004F29C7" w:rsidRDefault="00CC40D2" w:rsidP="004F29C7">
      <w:pPr>
        <w:spacing w:line="240" w:lineRule="auto"/>
        <w:jc w:val="both"/>
        <w:rPr>
          <w:rFonts w:ascii="Arial" w:hAnsi="Arial" w:cs="Arial"/>
          <w:b/>
          <w:sz w:val="20"/>
          <w:szCs w:val="20"/>
          <w:u w:val="single"/>
        </w:rPr>
      </w:pPr>
      <w:r w:rsidRPr="004F29C7">
        <w:rPr>
          <w:rFonts w:ascii="Arial" w:hAnsi="Arial" w:cs="Arial"/>
          <w:b/>
          <w:sz w:val="20"/>
          <w:szCs w:val="20"/>
          <w:u w:val="single"/>
        </w:rPr>
        <w:t>Document </w:t>
      </w:r>
      <w:r w:rsidR="00CB4656">
        <w:rPr>
          <w:rFonts w:ascii="Arial" w:hAnsi="Arial" w:cs="Arial"/>
          <w:b/>
          <w:sz w:val="20"/>
          <w:szCs w:val="20"/>
          <w:u w:val="single"/>
        </w:rPr>
        <w:t>9</w:t>
      </w:r>
      <w:r w:rsidR="004F29C7" w:rsidRPr="004F29C7">
        <w:rPr>
          <w:rFonts w:ascii="Arial" w:hAnsi="Arial" w:cs="Arial"/>
          <w:b/>
          <w:sz w:val="20"/>
          <w:szCs w:val="20"/>
          <w:u w:val="single"/>
        </w:rPr>
        <w:t xml:space="preserve"> </w:t>
      </w:r>
      <w:r w:rsidRPr="004F29C7">
        <w:rPr>
          <w:rFonts w:ascii="Arial" w:hAnsi="Arial" w:cs="Arial"/>
          <w:b/>
          <w:sz w:val="20"/>
          <w:szCs w:val="20"/>
          <w:u w:val="single"/>
        </w:rPr>
        <w:t xml:space="preserve">: </w:t>
      </w:r>
      <w:r w:rsidRPr="004F29C7">
        <w:rPr>
          <w:rFonts w:ascii="Arial" w:hAnsi="Arial" w:cs="Arial"/>
          <w:b/>
          <w:bCs/>
          <w:sz w:val="20"/>
          <w:szCs w:val="20"/>
          <w:u w:val="single"/>
        </w:rPr>
        <w:t xml:space="preserve">Définir et mettre en œuvre la politique monétaire de la zone euro </w:t>
      </w:r>
    </w:p>
    <w:p w:rsidR="00CC40D2" w:rsidRPr="00E22C25" w:rsidRDefault="00CC40D2" w:rsidP="004F29C7">
      <w:pPr>
        <w:pStyle w:val="Style"/>
        <w:spacing w:before="62"/>
        <w:ind w:left="19" w:right="43"/>
        <w:jc w:val="both"/>
        <w:rPr>
          <w:w w:val="109"/>
          <w:sz w:val="20"/>
          <w:szCs w:val="20"/>
        </w:rPr>
      </w:pPr>
      <w:r w:rsidRPr="00E22C25">
        <w:rPr>
          <w:w w:val="109"/>
          <w:sz w:val="20"/>
          <w:szCs w:val="20"/>
        </w:rPr>
        <w:t>La BCE est l'institution chargée de mettre en œuvre la politique monétaire et de la défin</w:t>
      </w:r>
      <w:r w:rsidR="004F29C7">
        <w:rPr>
          <w:w w:val="109"/>
          <w:sz w:val="20"/>
          <w:szCs w:val="20"/>
        </w:rPr>
        <w:t>ir techniquement. Car si l'</w:t>
      </w:r>
      <w:r w:rsidRPr="00E22C25">
        <w:rPr>
          <w:w w:val="109"/>
          <w:sz w:val="20"/>
          <w:szCs w:val="20"/>
        </w:rPr>
        <w:t xml:space="preserve">objectif principal du SEBC défini à l'article 127 § 1 TFUE est de maintenir la stabilité des prix, c'est la BCE qui choisit la cible opérationnelle: en l'occurrence, 2 </w:t>
      </w:r>
      <w:r w:rsidRPr="00E22C25">
        <w:rPr>
          <w:w w:val="82"/>
          <w:sz w:val="20"/>
          <w:szCs w:val="20"/>
        </w:rPr>
        <w:t xml:space="preserve">% </w:t>
      </w:r>
      <w:r w:rsidRPr="00E22C25">
        <w:rPr>
          <w:w w:val="109"/>
          <w:sz w:val="20"/>
          <w:szCs w:val="20"/>
        </w:rPr>
        <w:t xml:space="preserve">pour la hausse des prix. </w:t>
      </w:r>
    </w:p>
    <w:p w:rsidR="00CC40D2" w:rsidRPr="00E22C25" w:rsidRDefault="00CC40D2" w:rsidP="004F29C7">
      <w:pPr>
        <w:pStyle w:val="Style"/>
        <w:spacing w:before="57"/>
        <w:ind w:left="24" w:right="48"/>
        <w:jc w:val="both"/>
        <w:rPr>
          <w:w w:val="107"/>
          <w:sz w:val="20"/>
          <w:szCs w:val="20"/>
        </w:rPr>
      </w:pPr>
      <w:r w:rsidRPr="00E22C25">
        <w:rPr>
          <w:i/>
          <w:iCs/>
          <w:w w:val="107"/>
          <w:sz w:val="20"/>
          <w:szCs w:val="20"/>
        </w:rPr>
        <w:t xml:space="preserve">«Sans préjudice de cet objectif, </w:t>
      </w:r>
      <w:r w:rsidRPr="00E22C25">
        <w:rPr>
          <w:w w:val="107"/>
          <w:sz w:val="20"/>
          <w:szCs w:val="20"/>
        </w:rPr>
        <w:t xml:space="preserve">[le SEBC] </w:t>
      </w:r>
      <w:r w:rsidRPr="00E22C25">
        <w:rPr>
          <w:i/>
          <w:iCs/>
          <w:w w:val="107"/>
          <w:sz w:val="20"/>
          <w:szCs w:val="20"/>
        </w:rPr>
        <w:t xml:space="preserve">apporte son soutien aux politiques économiques générales dans l'Union, pour contribuer à la réalisation des objectifs de celle-ci» </w:t>
      </w:r>
      <w:r w:rsidRPr="00E22C25">
        <w:rPr>
          <w:w w:val="107"/>
          <w:sz w:val="20"/>
          <w:szCs w:val="20"/>
        </w:rPr>
        <w:t xml:space="preserve">(art. 282 § 2 TFUE) c'est-à-dire l'obtention d'un niveau d'emploi élevé et d'une croissance durable et non inflationniste. </w:t>
      </w:r>
    </w:p>
    <w:p w:rsidR="00CC40D2" w:rsidRDefault="00CC40D2" w:rsidP="004F29C7">
      <w:pPr>
        <w:pStyle w:val="Style"/>
        <w:spacing w:before="62"/>
        <w:ind w:left="19" w:right="43"/>
        <w:jc w:val="both"/>
        <w:rPr>
          <w:w w:val="109"/>
          <w:sz w:val="20"/>
          <w:szCs w:val="20"/>
        </w:rPr>
      </w:pPr>
      <w:r w:rsidRPr="00E22C25">
        <w:rPr>
          <w:w w:val="109"/>
          <w:sz w:val="20"/>
          <w:szCs w:val="20"/>
        </w:rPr>
        <w:t>Au total</w:t>
      </w:r>
      <w:r w:rsidR="000C7E63">
        <w:rPr>
          <w:w w:val="109"/>
          <w:sz w:val="20"/>
          <w:szCs w:val="20"/>
        </w:rPr>
        <w:t>,</w:t>
      </w:r>
      <w:r w:rsidRPr="00E22C25">
        <w:rPr>
          <w:w w:val="109"/>
          <w:sz w:val="20"/>
          <w:szCs w:val="20"/>
        </w:rPr>
        <w:t xml:space="preserve"> la BCE a donc un mandat hiérarchique fort, c'est</w:t>
      </w:r>
      <w:r w:rsidRPr="00E22C25">
        <w:rPr>
          <w:w w:val="109"/>
          <w:sz w:val="20"/>
          <w:szCs w:val="20"/>
        </w:rPr>
        <w:softHyphen/>
      </w:r>
      <w:r w:rsidR="000C7E63">
        <w:rPr>
          <w:w w:val="109"/>
          <w:sz w:val="20"/>
          <w:szCs w:val="20"/>
        </w:rPr>
        <w:t>-</w:t>
      </w:r>
      <w:r w:rsidRPr="00E22C25">
        <w:rPr>
          <w:w w:val="109"/>
          <w:sz w:val="20"/>
          <w:szCs w:val="20"/>
        </w:rPr>
        <w:t>à-dire un objectif</w:t>
      </w:r>
      <w:r w:rsidR="00072D05" w:rsidRPr="00E22C25">
        <w:rPr>
          <w:w w:val="109"/>
          <w:sz w:val="20"/>
          <w:szCs w:val="20"/>
        </w:rPr>
        <w:t xml:space="preserve"> </w:t>
      </w:r>
      <w:r w:rsidRPr="00E22C25">
        <w:rPr>
          <w:w w:val="109"/>
          <w:sz w:val="20"/>
          <w:szCs w:val="20"/>
        </w:rPr>
        <w:t xml:space="preserve">fortement prioritaire (la stabilité des prix) et des objectifs secondaires qui ne peuvent s'opposer à la stabilité des prix. Autrement dit, il n'y a pas d'arbitrage entre objectifs dans le mandat de la BCE. </w:t>
      </w:r>
    </w:p>
    <w:p w:rsidR="00893E5D" w:rsidRPr="00893E5D" w:rsidRDefault="00893E5D" w:rsidP="004F29C7">
      <w:pPr>
        <w:pStyle w:val="Style"/>
        <w:spacing w:before="62"/>
        <w:ind w:left="19" w:right="43"/>
        <w:jc w:val="both"/>
        <w:rPr>
          <w:w w:val="109"/>
          <w:sz w:val="8"/>
          <w:szCs w:val="8"/>
        </w:rPr>
      </w:pPr>
    </w:p>
    <w:p w:rsidR="00CC40D2" w:rsidRPr="00E22C25" w:rsidRDefault="00CB4656" w:rsidP="00893E5D">
      <w:pPr>
        <w:pStyle w:val="Style"/>
        <w:ind w:right="38"/>
        <w:jc w:val="both"/>
        <w:rPr>
          <w:w w:val="109"/>
          <w:sz w:val="20"/>
          <w:szCs w:val="20"/>
        </w:rPr>
      </w:pPr>
      <w:r>
        <w:rPr>
          <w:w w:val="109"/>
          <w:sz w:val="20"/>
          <w:szCs w:val="20"/>
        </w:rPr>
        <w:t>E. Le Héron</w:t>
      </w:r>
      <w:r w:rsidR="00072D05" w:rsidRPr="00E22C25">
        <w:rPr>
          <w:w w:val="109"/>
          <w:sz w:val="20"/>
          <w:szCs w:val="20"/>
        </w:rPr>
        <w:t xml:space="preserve">, </w:t>
      </w:r>
      <w:r w:rsidR="00072D05" w:rsidRPr="00E22C25">
        <w:rPr>
          <w:i/>
          <w:w w:val="109"/>
          <w:sz w:val="20"/>
          <w:szCs w:val="20"/>
        </w:rPr>
        <w:t>A quoi sert la Banque centrale européenne ?</w:t>
      </w:r>
      <w:r w:rsidR="00072D05" w:rsidRPr="00E22C25">
        <w:rPr>
          <w:w w:val="109"/>
          <w:sz w:val="20"/>
          <w:szCs w:val="20"/>
        </w:rPr>
        <w:t>, La documentation française 2016</w:t>
      </w:r>
    </w:p>
    <w:p w:rsidR="00B71208" w:rsidRDefault="00B71208" w:rsidP="004F29C7">
      <w:pPr>
        <w:pStyle w:val="Style"/>
        <w:spacing w:before="62"/>
        <w:ind w:left="19" w:right="43"/>
        <w:jc w:val="both"/>
        <w:rPr>
          <w:b/>
          <w:bCs/>
          <w:sz w:val="20"/>
          <w:szCs w:val="20"/>
          <w:u w:val="single"/>
        </w:rPr>
      </w:pPr>
    </w:p>
    <w:p w:rsidR="00502FA8" w:rsidRPr="004F29C7" w:rsidRDefault="00072D05" w:rsidP="004F29C7">
      <w:pPr>
        <w:pStyle w:val="Style"/>
        <w:spacing w:before="62"/>
        <w:ind w:left="19" w:right="43"/>
        <w:jc w:val="both"/>
        <w:rPr>
          <w:b/>
          <w:bCs/>
          <w:sz w:val="20"/>
          <w:szCs w:val="20"/>
          <w:u w:val="single"/>
        </w:rPr>
      </w:pPr>
      <w:r w:rsidRPr="004F29C7">
        <w:rPr>
          <w:b/>
          <w:bCs/>
          <w:sz w:val="20"/>
          <w:szCs w:val="20"/>
          <w:u w:val="single"/>
        </w:rPr>
        <w:t>Document</w:t>
      </w:r>
      <w:r w:rsidR="00CB4656">
        <w:rPr>
          <w:b/>
          <w:bCs/>
          <w:sz w:val="20"/>
          <w:szCs w:val="20"/>
          <w:u w:val="single"/>
        </w:rPr>
        <w:t xml:space="preserve"> 10</w:t>
      </w:r>
      <w:r w:rsidRPr="004F29C7">
        <w:rPr>
          <w:b/>
          <w:bCs/>
          <w:sz w:val="20"/>
          <w:szCs w:val="20"/>
          <w:u w:val="single"/>
        </w:rPr>
        <w:t xml:space="preserve"> : </w:t>
      </w:r>
      <w:r w:rsidR="00CC40D2" w:rsidRPr="004F29C7">
        <w:rPr>
          <w:b/>
          <w:bCs/>
          <w:sz w:val="20"/>
          <w:szCs w:val="20"/>
          <w:u w:val="single"/>
        </w:rPr>
        <w:t xml:space="preserve">Être le prêteur en dernier ressort des banques de second rang </w:t>
      </w:r>
    </w:p>
    <w:p w:rsidR="00CC40D2" w:rsidRPr="00E22C25" w:rsidRDefault="00CC40D2" w:rsidP="004F29C7">
      <w:pPr>
        <w:pStyle w:val="Style"/>
        <w:spacing w:before="62"/>
        <w:ind w:left="19" w:right="43"/>
        <w:jc w:val="both"/>
        <w:rPr>
          <w:sz w:val="20"/>
          <w:szCs w:val="20"/>
        </w:rPr>
      </w:pPr>
      <w:r w:rsidRPr="00E22C25">
        <w:rPr>
          <w:sz w:val="20"/>
          <w:szCs w:val="20"/>
        </w:rPr>
        <w:t xml:space="preserve">La BCE a pour autre fonction importante de promouvoir le bon fonctionnement des systèmes de paiement, mais également d'assurer, conjointement avec les autorités nationales et européennes compétentes, la stabilité des systèmes bancaire et financier. À ce titre, le SEBC assure le refinancement des banques commerciales. La BCE est donc bien, sur ce plan, la «banque des banques». </w:t>
      </w:r>
    </w:p>
    <w:p w:rsidR="00072D05" w:rsidRPr="00E22C25" w:rsidRDefault="00CC40D2" w:rsidP="004F29C7">
      <w:pPr>
        <w:pStyle w:val="Style"/>
        <w:ind w:left="9" w:right="4"/>
        <w:jc w:val="both"/>
        <w:rPr>
          <w:w w:val="111"/>
          <w:sz w:val="20"/>
          <w:szCs w:val="20"/>
        </w:rPr>
      </w:pPr>
      <w:r w:rsidRPr="00E22C25">
        <w:rPr>
          <w:w w:val="109"/>
          <w:sz w:val="20"/>
          <w:szCs w:val="20"/>
        </w:rPr>
        <w:t xml:space="preserve">Les banques commerciales créent de la monnaie ex </w:t>
      </w:r>
      <w:r w:rsidRPr="00E22C25">
        <w:rPr>
          <w:i/>
          <w:iCs/>
          <w:w w:val="109"/>
          <w:sz w:val="20"/>
          <w:szCs w:val="20"/>
        </w:rPr>
        <w:t xml:space="preserve">nihilo </w:t>
      </w:r>
      <w:r w:rsidRPr="00E22C25">
        <w:rPr>
          <w:w w:val="109"/>
          <w:sz w:val="20"/>
          <w:szCs w:val="20"/>
        </w:rPr>
        <w:t>dans le cadre de leurs relations avec les agents non finan</w:t>
      </w:r>
      <w:r w:rsidRPr="00E22C25">
        <w:rPr>
          <w:w w:val="109"/>
          <w:sz w:val="20"/>
          <w:szCs w:val="20"/>
        </w:rPr>
        <w:softHyphen/>
        <w:t>ciers, c'est-à-dire en achetant des titres ou en accordant des crédits aux entreprises, à l'État ou aux ménages. De son côté, la banque centrale crée et prête de la monnaie appelée monnaie «banque centrale» ou «monnaie ultime» aux banques commerciales. C'est avec cette monnaie qu'elles</w:t>
      </w:r>
      <w:r w:rsidR="00072D05" w:rsidRPr="00E22C25">
        <w:rPr>
          <w:w w:val="109"/>
          <w:sz w:val="20"/>
          <w:szCs w:val="20"/>
        </w:rPr>
        <w:t xml:space="preserve"> </w:t>
      </w:r>
      <w:r w:rsidR="00072D05" w:rsidRPr="00E22C25">
        <w:rPr>
          <w:w w:val="111"/>
          <w:sz w:val="20"/>
          <w:szCs w:val="20"/>
        </w:rPr>
        <w:t>achètent à la banque centrale que les banques commer</w:t>
      </w:r>
      <w:r w:rsidR="00072D05" w:rsidRPr="00E22C25">
        <w:rPr>
          <w:w w:val="111"/>
          <w:sz w:val="20"/>
          <w:szCs w:val="20"/>
        </w:rPr>
        <w:softHyphen/>
        <w:t xml:space="preserve">ciales se payent </w:t>
      </w:r>
      <w:r w:rsidR="00072D05" w:rsidRPr="00E22C25">
        <w:rPr>
          <w:w w:val="111"/>
          <w:sz w:val="20"/>
          <w:szCs w:val="20"/>
        </w:rPr>
        <w:lastRenderedPageBreak/>
        <w:t xml:space="preserve">entre elles, et non avec la monnaie qu'elles ont créée par le biais des dépôts et des crédits. On parle d'opération de refinancement des banques. </w:t>
      </w:r>
    </w:p>
    <w:p w:rsidR="00072D05" w:rsidRPr="00E22C25" w:rsidRDefault="00072D05" w:rsidP="004F29C7">
      <w:pPr>
        <w:widowControl w:val="0"/>
        <w:autoSpaceDE w:val="0"/>
        <w:autoSpaceDN w:val="0"/>
        <w:adjustRightInd w:val="0"/>
        <w:spacing w:before="28" w:after="0" w:line="240" w:lineRule="auto"/>
        <w:ind w:left="4" w:right="9"/>
        <w:jc w:val="both"/>
        <w:rPr>
          <w:rFonts w:ascii="Arial" w:eastAsiaTheme="minorEastAsia" w:hAnsi="Arial" w:cs="Arial"/>
          <w:w w:val="111"/>
          <w:sz w:val="20"/>
          <w:szCs w:val="20"/>
          <w:lang w:eastAsia="fr-FR"/>
        </w:rPr>
      </w:pPr>
      <w:r w:rsidRPr="00E22C25">
        <w:rPr>
          <w:rFonts w:ascii="Arial" w:eastAsiaTheme="minorEastAsia" w:hAnsi="Arial" w:cs="Arial"/>
          <w:w w:val="111"/>
          <w:sz w:val="20"/>
          <w:szCs w:val="20"/>
          <w:lang w:eastAsia="fr-FR"/>
        </w:rPr>
        <w:t>La hiérarchisation du système bancaire entre la banque de premier rang (banque centrale) et les banques de second rang (banques commerciales), est apparue tardivement dans l'histoire, mais elle est essentielle. La BCE, prêteur en dernier ressort, ne contrôle ni ne s'occupe directement de la création monétaire. Mais elle régule indirectement cette création monétaire en fixant des taux d'intérêt à court terme et en intervenant dans les opérations de refi</w:t>
      </w:r>
      <w:r w:rsidRPr="00E22C25">
        <w:rPr>
          <w:rFonts w:ascii="Arial" w:eastAsiaTheme="minorEastAsia" w:hAnsi="Arial" w:cs="Arial"/>
          <w:w w:val="111"/>
          <w:sz w:val="20"/>
          <w:szCs w:val="20"/>
          <w:lang w:eastAsia="fr-FR"/>
        </w:rPr>
        <w:softHyphen/>
        <w:t>nancement des banques commerciales. Ainsi, la banque centrale n'est pas une banque qui crée directement la monnaie finançant l'économie, mais une banque qui régule la création monétaire des banques en les refinançant. Cette fonction comprend trois dimensions qui sont lar</w:t>
      </w:r>
      <w:r w:rsidRPr="00E22C25">
        <w:rPr>
          <w:rFonts w:ascii="Arial" w:eastAsiaTheme="minorEastAsia" w:hAnsi="Arial" w:cs="Arial"/>
          <w:w w:val="111"/>
          <w:sz w:val="20"/>
          <w:szCs w:val="20"/>
          <w:lang w:eastAsia="fr-FR"/>
        </w:rPr>
        <w:softHyphen/>
        <w:t xml:space="preserve">gement complémentaires, même si elles renvoient à des problèmes différents: garantir la sécurité des moyens de paiements, garantir la stabilité bancaire et garantir la stabilité financière. </w:t>
      </w:r>
    </w:p>
    <w:p w:rsidR="00072D05" w:rsidRPr="00E22C25" w:rsidRDefault="00072D05" w:rsidP="004F29C7">
      <w:pPr>
        <w:widowControl w:val="0"/>
        <w:autoSpaceDE w:val="0"/>
        <w:autoSpaceDN w:val="0"/>
        <w:adjustRightInd w:val="0"/>
        <w:spacing w:after="0" w:line="240" w:lineRule="auto"/>
        <w:ind w:left="9" w:right="4"/>
        <w:jc w:val="both"/>
        <w:rPr>
          <w:rFonts w:ascii="Arial" w:eastAsiaTheme="minorEastAsia" w:hAnsi="Arial" w:cs="Arial"/>
          <w:w w:val="111"/>
          <w:sz w:val="20"/>
          <w:szCs w:val="20"/>
          <w:lang w:eastAsia="fr-FR"/>
        </w:rPr>
      </w:pPr>
      <w:r w:rsidRPr="00E22C25">
        <w:rPr>
          <w:rFonts w:ascii="Arial" w:eastAsiaTheme="minorEastAsia" w:hAnsi="Arial" w:cs="Arial"/>
          <w:w w:val="111"/>
          <w:sz w:val="20"/>
          <w:szCs w:val="20"/>
          <w:lang w:eastAsia="fr-FR"/>
        </w:rPr>
        <w:t>En revanche, la BCE ne remplit pas à l'égard des États membres de la zone euro le rôle de prêteur en dernier ressort. Elle ne les finance pas à des conditions avanta</w:t>
      </w:r>
      <w:r w:rsidRPr="00E22C25">
        <w:rPr>
          <w:rFonts w:ascii="Arial" w:eastAsiaTheme="minorEastAsia" w:hAnsi="Arial" w:cs="Arial"/>
          <w:w w:val="111"/>
          <w:sz w:val="20"/>
          <w:szCs w:val="20"/>
          <w:lang w:eastAsia="fr-FR"/>
        </w:rPr>
        <w:softHyphen/>
        <w:t xml:space="preserve">geuses, comme le font de nombreuses banques centrales à travers le monde. Tout au contraire, elle a l'interdiction absolue de financer les États membres ou même le budget européen. </w:t>
      </w:r>
    </w:p>
    <w:p w:rsidR="00893E5D" w:rsidRPr="00893E5D" w:rsidRDefault="00893E5D" w:rsidP="00893E5D">
      <w:pPr>
        <w:pStyle w:val="Style"/>
        <w:spacing w:before="62"/>
        <w:ind w:left="19" w:right="43"/>
        <w:jc w:val="both"/>
        <w:rPr>
          <w:w w:val="109"/>
          <w:sz w:val="8"/>
          <w:szCs w:val="8"/>
        </w:rPr>
      </w:pPr>
    </w:p>
    <w:p w:rsidR="00893E5D" w:rsidRPr="00E22C25" w:rsidRDefault="00893E5D" w:rsidP="00893E5D">
      <w:pPr>
        <w:pStyle w:val="Style"/>
        <w:ind w:right="38"/>
        <w:jc w:val="both"/>
        <w:rPr>
          <w:w w:val="109"/>
          <w:sz w:val="20"/>
          <w:szCs w:val="20"/>
        </w:rPr>
      </w:pPr>
      <w:r>
        <w:rPr>
          <w:w w:val="109"/>
          <w:sz w:val="20"/>
          <w:szCs w:val="20"/>
        </w:rPr>
        <w:t>E. Le Héron</w:t>
      </w:r>
      <w:r w:rsidRPr="00E22C25">
        <w:rPr>
          <w:w w:val="109"/>
          <w:sz w:val="20"/>
          <w:szCs w:val="20"/>
        </w:rPr>
        <w:t xml:space="preserve">, </w:t>
      </w:r>
      <w:r w:rsidRPr="00E22C25">
        <w:rPr>
          <w:i/>
          <w:w w:val="109"/>
          <w:sz w:val="20"/>
          <w:szCs w:val="20"/>
        </w:rPr>
        <w:t>A quoi sert la Banque centrale européenne ?</w:t>
      </w:r>
      <w:r w:rsidRPr="00E22C25">
        <w:rPr>
          <w:w w:val="109"/>
          <w:sz w:val="20"/>
          <w:szCs w:val="20"/>
        </w:rPr>
        <w:t>, La documentation française 2016</w:t>
      </w:r>
    </w:p>
    <w:p w:rsidR="00072D05" w:rsidRPr="00E22C25" w:rsidRDefault="00072D05" w:rsidP="004F29C7">
      <w:pPr>
        <w:widowControl w:val="0"/>
        <w:autoSpaceDE w:val="0"/>
        <w:autoSpaceDN w:val="0"/>
        <w:adjustRightInd w:val="0"/>
        <w:spacing w:after="0" w:line="240" w:lineRule="auto"/>
        <w:ind w:left="9" w:right="4"/>
        <w:jc w:val="both"/>
        <w:rPr>
          <w:rFonts w:ascii="Arial" w:eastAsiaTheme="minorEastAsia" w:hAnsi="Arial" w:cs="Arial"/>
          <w:w w:val="111"/>
          <w:sz w:val="20"/>
          <w:szCs w:val="20"/>
          <w:lang w:eastAsia="fr-FR"/>
        </w:rPr>
      </w:pPr>
    </w:p>
    <w:p w:rsidR="00072D05" w:rsidRPr="004F29C7" w:rsidRDefault="00DB79BA" w:rsidP="004F29C7">
      <w:pPr>
        <w:widowControl w:val="0"/>
        <w:autoSpaceDE w:val="0"/>
        <w:autoSpaceDN w:val="0"/>
        <w:adjustRightInd w:val="0"/>
        <w:spacing w:after="120" w:line="240" w:lineRule="auto"/>
        <w:ind w:left="9"/>
        <w:jc w:val="both"/>
        <w:rPr>
          <w:rFonts w:ascii="Arial" w:eastAsiaTheme="minorEastAsia" w:hAnsi="Arial" w:cs="Arial"/>
          <w:b/>
          <w:bCs/>
          <w:sz w:val="20"/>
          <w:szCs w:val="20"/>
          <w:u w:val="single"/>
          <w:lang w:eastAsia="fr-FR"/>
        </w:rPr>
      </w:pPr>
      <w:r w:rsidRPr="004F29C7">
        <w:rPr>
          <w:rFonts w:ascii="Arial" w:eastAsiaTheme="minorEastAsia" w:hAnsi="Arial" w:cs="Arial"/>
          <w:b/>
          <w:bCs/>
          <w:sz w:val="20"/>
          <w:szCs w:val="20"/>
          <w:u w:val="single"/>
          <w:lang w:eastAsia="fr-FR"/>
        </w:rPr>
        <w:t>Document </w:t>
      </w:r>
      <w:r w:rsidR="00CB4656">
        <w:rPr>
          <w:rFonts w:ascii="Arial" w:eastAsiaTheme="minorEastAsia" w:hAnsi="Arial" w:cs="Arial"/>
          <w:b/>
          <w:bCs/>
          <w:sz w:val="20"/>
          <w:szCs w:val="20"/>
          <w:u w:val="single"/>
          <w:lang w:eastAsia="fr-FR"/>
        </w:rPr>
        <w:t>11</w:t>
      </w:r>
      <w:r w:rsidR="004F29C7" w:rsidRPr="004F29C7">
        <w:rPr>
          <w:rFonts w:ascii="Arial" w:eastAsiaTheme="minorEastAsia" w:hAnsi="Arial" w:cs="Arial"/>
          <w:b/>
          <w:bCs/>
          <w:sz w:val="20"/>
          <w:szCs w:val="20"/>
          <w:u w:val="single"/>
          <w:lang w:eastAsia="fr-FR"/>
        </w:rPr>
        <w:t xml:space="preserve"> </w:t>
      </w:r>
      <w:r w:rsidRPr="004F29C7">
        <w:rPr>
          <w:rFonts w:ascii="Arial" w:eastAsiaTheme="minorEastAsia" w:hAnsi="Arial" w:cs="Arial"/>
          <w:b/>
          <w:bCs/>
          <w:sz w:val="20"/>
          <w:szCs w:val="20"/>
          <w:u w:val="single"/>
          <w:lang w:eastAsia="fr-FR"/>
        </w:rPr>
        <w:t xml:space="preserve">: </w:t>
      </w:r>
      <w:r w:rsidR="00072D05" w:rsidRPr="004F29C7">
        <w:rPr>
          <w:rFonts w:ascii="Arial" w:eastAsiaTheme="minorEastAsia" w:hAnsi="Arial" w:cs="Arial"/>
          <w:b/>
          <w:bCs/>
          <w:sz w:val="20"/>
          <w:szCs w:val="20"/>
          <w:u w:val="single"/>
          <w:lang w:eastAsia="fr-FR"/>
        </w:rPr>
        <w:t xml:space="preserve">Émettre les billets de banque de la zone euro </w:t>
      </w:r>
    </w:p>
    <w:p w:rsidR="00072D05" w:rsidRPr="00E22C25" w:rsidRDefault="00072D05" w:rsidP="004F29C7">
      <w:pPr>
        <w:pStyle w:val="Style"/>
        <w:ind w:left="9" w:right="4"/>
        <w:jc w:val="both"/>
        <w:rPr>
          <w:w w:val="111"/>
          <w:sz w:val="20"/>
          <w:szCs w:val="20"/>
        </w:rPr>
      </w:pPr>
      <w:r w:rsidRPr="00E22C25">
        <w:rPr>
          <w:w w:val="111"/>
          <w:sz w:val="20"/>
          <w:szCs w:val="20"/>
        </w:rPr>
        <w:t>L'article 128 TFUE prévoit également que la BCE est la seule habilitée, avec les BCN, à émettre des billets ayant cours légal dans la zone euro, et à autoriser les quantités de pièces émises par les États membres de cette zone. La BCE remplit ainsi une mission historique et symbolique</w:t>
      </w:r>
      <w:r w:rsidRPr="00E22C25">
        <w:rPr>
          <w:w w:val="111"/>
          <w:sz w:val="20"/>
          <w:szCs w:val="20"/>
        </w:rPr>
        <w:softHyphen/>
        <w:t xml:space="preserve">ment forte, même si elle est relativement secondaire d'un point de vue économique: l'émission de billets. La part de billets émis par la BCE depuis 2002 (année d'introduction des billets en euros à la place des billets nationaux) est estimée à 8 </w:t>
      </w:r>
      <w:r w:rsidRPr="00E22C25">
        <w:rPr>
          <w:w w:val="83"/>
          <w:sz w:val="20"/>
          <w:szCs w:val="20"/>
        </w:rPr>
        <w:t xml:space="preserve">% </w:t>
      </w:r>
      <w:r w:rsidRPr="00E22C25">
        <w:rPr>
          <w:w w:val="111"/>
          <w:sz w:val="20"/>
          <w:szCs w:val="20"/>
        </w:rPr>
        <w:t xml:space="preserve">de la valeur totale des billets émis qui est de 1034 milliards d'euros fin 2015. Le reste des billets d'euros est émis par les BCN de la zone euro. 20 à 25 </w:t>
      </w:r>
      <w:r w:rsidRPr="00E22C25">
        <w:rPr>
          <w:w w:val="84"/>
          <w:sz w:val="20"/>
          <w:szCs w:val="20"/>
        </w:rPr>
        <w:t xml:space="preserve">% </w:t>
      </w:r>
      <w:r w:rsidRPr="00E22C25">
        <w:rPr>
          <w:w w:val="111"/>
          <w:sz w:val="20"/>
          <w:szCs w:val="20"/>
        </w:rPr>
        <w:t>de ces billets seraient détenus en dehors de la zone euro. La BCE a décidé d'arrêter d'émettre en 2018 les coupures de 500 euros afin de lutter contre la criminalité. Avec seu</w:t>
      </w:r>
      <w:r w:rsidRPr="00E22C25">
        <w:rPr>
          <w:w w:val="111"/>
          <w:sz w:val="20"/>
          <w:szCs w:val="20"/>
        </w:rPr>
        <w:softHyphen/>
        <w:t xml:space="preserve">1ement 3 </w:t>
      </w:r>
      <w:r w:rsidRPr="00E22C25">
        <w:rPr>
          <w:w w:val="77"/>
          <w:sz w:val="20"/>
          <w:szCs w:val="20"/>
        </w:rPr>
        <w:t xml:space="preserve">% </w:t>
      </w:r>
      <w:r w:rsidRPr="00E22C25">
        <w:rPr>
          <w:w w:val="111"/>
          <w:sz w:val="20"/>
          <w:szCs w:val="20"/>
        </w:rPr>
        <w:t xml:space="preserve">des billets, cette coupure représentait 30 </w:t>
      </w:r>
      <w:r w:rsidRPr="00E22C25">
        <w:rPr>
          <w:w w:val="77"/>
          <w:sz w:val="20"/>
          <w:szCs w:val="20"/>
        </w:rPr>
        <w:t xml:space="preserve">% </w:t>
      </w:r>
      <w:r w:rsidRPr="00E22C25">
        <w:rPr>
          <w:w w:val="111"/>
          <w:sz w:val="20"/>
          <w:szCs w:val="20"/>
        </w:rPr>
        <w:t xml:space="preserve">de la valeur des billets émis en euro. </w:t>
      </w:r>
    </w:p>
    <w:p w:rsidR="00072D05" w:rsidRPr="00E22C25" w:rsidRDefault="00072D05" w:rsidP="004F29C7">
      <w:pPr>
        <w:widowControl w:val="0"/>
        <w:autoSpaceDE w:val="0"/>
        <w:autoSpaceDN w:val="0"/>
        <w:adjustRightInd w:val="0"/>
        <w:spacing w:after="0" w:line="240" w:lineRule="auto"/>
        <w:ind w:left="9" w:right="4"/>
        <w:jc w:val="both"/>
        <w:rPr>
          <w:rFonts w:ascii="Arial" w:eastAsiaTheme="minorEastAsia" w:hAnsi="Arial" w:cs="Arial"/>
          <w:w w:val="111"/>
          <w:sz w:val="20"/>
          <w:szCs w:val="20"/>
          <w:lang w:eastAsia="fr-FR"/>
        </w:rPr>
      </w:pPr>
      <w:r w:rsidRPr="00E22C25">
        <w:rPr>
          <w:rFonts w:ascii="Arial" w:eastAsiaTheme="minorEastAsia" w:hAnsi="Arial" w:cs="Arial"/>
          <w:w w:val="111"/>
          <w:sz w:val="20"/>
          <w:szCs w:val="20"/>
          <w:lang w:eastAsia="fr-FR"/>
        </w:rPr>
        <w:t xml:space="preserve">Les pièces, qui relevaient traditionnellement des hôtels des monnaies, continuent d'être émises par les États membres de la zone euro, qui se réservent une face pour les symboles nationaux et qui ont donc conservé le seigneuriage sur les pièces pour un montant toutefois très faible (environ 26 milliards d'euros depuis 2002 pour toute la zone euro). Le total des pièces et des billets d'euros (l 060 milliards d'euros fin 2015) est cependant très faible dans la masse monétaire totale de 10700 milliards d'euros environ pour l'agrégat le plus large M3. </w:t>
      </w:r>
      <w:r w:rsidRPr="00E22C25">
        <w:rPr>
          <w:rFonts w:ascii="Arial" w:hAnsi="Arial" w:cs="Arial"/>
          <w:w w:val="106"/>
          <w:sz w:val="20"/>
          <w:szCs w:val="20"/>
        </w:rPr>
        <w:t>A</w:t>
      </w:r>
      <w:r w:rsidRPr="00E22C25">
        <w:rPr>
          <w:rFonts w:ascii="Arial" w:eastAsiaTheme="minorEastAsia" w:hAnsi="Arial" w:cs="Arial"/>
          <w:w w:val="106"/>
          <w:sz w:val="20"/>
          <w:szCs w:val="20"/>
          <w:lang w:eastAsia="fr-FR"/>
        </w:rPr>
        <w:t xml:space="preserve">vec l'émission des billets de banque de la zone euro, la BCE possède un droit de seigneuriage, puisque la valeur faciale des billets est supérieure à leur coût. Le profit de la BCE, issu notamment de ce seigneuriage, est partagé entre les dix-neuf BCN de la zone euro, à proportion de leur part libérée dans son capital. Toutefois, la BCE ne possède pas pour autant une « planche à billets» qui lui permettrait de tout financer: en effet, si elle </w:t>
      </w:r>
      <w:r w:rsidR="00893E5D">
        <w:rPr>
          <w:rFonts w:ascii="Arial" w:eastAsiaTheme="minorEastAsia" w:hAnsi="Arial" w:cs="Arial"/>
          <w:w w:val="106"/>
          <w:sz w:val="20"/>
          <w:szCs w:val="20"/>
          <w:lang w:eastAsia="fr-FR"/>
        </w:rPr>
        <w:t>fait imprimer les billets, elle</w:t>
      </w:r>
      <w:r w:rsidRPr="00E22C25">
        <w:rPr>
          <w:rFonts w:ascii="Arial" w:eastAsiaTheme="minorEastAsia" w:hAnsi="Arial" w:cs="Arial"/>
          <w:w w:val="106"/>
          <w:sz w:val="20"/>
          <w:szCs w:val="20"/>
          <w:lang w:eastAsia="fr-FR"/>
        </w:rPr>
        <w:t xml:space="preserve"> ne peut pas les mettre pour autant en circulation car elle n'a pas de relation directe avec les agents non financiers (entreprises, ménages ou États). Elle les vend donc dans le cadre des opérations de refinancement aux banques qui en ont besoin notamment pour alimenter leurs « caisses espèces» et les distributeurs automatiques de billets. Ces billets achetés par les banques commerciales se retrouvent à leur actif. La masse monétaire au sens de l'agrégat M3 se mesurant à l'actif des agents financiers ou au passif des banques commerciales, la vente des billets aux banques n'est pas une opération de création monétaire; ces billets entrent en circulation dans la masse monétaire (M3) lorsque les ménages vont par exemple les retirer aux distributeurs; mais il n'y a pas de création monétaire car les ménages sont immédiatement débités du même montant sur leur compte à vue. Les billets émis par la banque centrale entrent par conséquent dans l'économie en contrepartie d'une réduc</w:t>
      </w:r>
      <w:r w:rsidRPr="00E22C25">
        <w:rPr>
          <w:rFonts w:ascii="Arial" w:eastAsiaTheme="minorEastAsia" w:hAnsi="Arial" w:cs="Arial"/>
          <w:w w:val="106"/>
          <w:sz w:val="20"/>
          <w:szCs w:val="20"/>
          <w:lang w:eastAsia="fr-FR"/>
        </w:rPr>
        <w:softHyphen/>
        <w:t xml:space="preserve">tion de la monnaie créée par les banques commerciales et pour le même montant. </w:t>
      </w:r>
    </w:p>
    <w:p w:rsidR="00072D05" w:rsidRPr="00E22C25" w:rsidRDefault="00072D05" w:rsidP="004F29C7">
      <w:pPr>
        <w:widowControl w:val="0"/>
        <w:autoSpaceDE w:val="0"/>
        <w:autoSpaceDN w:val="0"/>
        <w:adjustRightInd w:val="0"/>
        <w:spacing w:after="0" w:line="240" w:lineRule="auto"/>
        <w:ind w:right="14"/>
        <w:jc w:val="both"/>
        <w:rPr>
          <w:rFonts w:ascii="Arial" w:eastAsiaTheme="minorEastAsia" w:hAnsi="Arial" w:cs="Arial"/>
          <w:w w:val="106"/>
          <w:sz w:val="20"/>
          <w:szCs w:val="20"/>
          <w:lang w:eastAsia="fr-FR"/>
        </w:rPr>
      </w:pPr>
      <w:r w:rsidRPr="00E22C25">
        <w:rPr>
          <w:rFonts w:ascii="Arial" w:eastAsiaTheme="minorEastAsia" w:hAnsi="Arial" w:cs="Arial"/>
          <w:w w:val="106"/>
          <w:sz w:val="20"/>
          <w:szCs w:val="20"/>
          <w:lang w:eastAsia="fr-FR"/>
        </w:rPr>
        <w:t xml:space="preserve">Les grosses quantités de monnaies « banque centrale </w:t>
      </w:r>
      <w:r w:rsidRPr="00E22C25">
        <w:rPr>
          <w:rFonts w:ascii="Arial" w:eastAsiaTheme="minorEastAsia" w:hAnsi="Arial" w:cs="Arial"/>
          <w:w w:val="73"/>
          <w:sz w:val="20"/>
          <w:szCs w:val="20"/>
          <w:lang w:eastAsia="fr-FR"/>
        </w:rPr>
        <w:t xml:space="preserve">» </w:t>
      </w:r>
      <w:r w:rsidRPr="00E22C25">
        <w:rPr>
          <w:rFonts w:ascii="Arial" w:eastAsiaTheme="minorEastAsia" w:hAnsi="Arial" w:cs="Arial"/>
          <w:w w:val="106"/>
          <w:sz w:val="20"/>
          <w:szCs w:val="20"/>
          <w:lang w:eastAsia="fr-FR"/>
        </w:rPr>
        <w:t>créées par la BCE pour le refinancement des banques de second rang lors de la gestion de la crise de 2008 n'ont pas entraîné pour l'instant de création monétaire. Au contraire, l'agrégat M3 s'est contracté en 2009. Cette monnaie «banque centrale» était nécessaire pour restaurer la confiance entre les banques de second rang et pour assurer la liquidité nécessaire à leurs paiements. Seulement durant la même période, les crédits à l'économie s'étant contractés (les nou</w:t>
      </w:r>
      <w:r w:rsidRPr="00E22C25">
        <w:rPr>
          <w:rFonts w:ascii="Arial" w:eastAsiaTheme="minorEastAsia" w:hAnsi="Arial" w:cs="Arial"/>
          <w:w w:val="106"/>
          <w:sz w:val="20"/>
          <w:szCs w:val="20"/>
          <w:lang w:eastAsia="fr-FR"/>
        </w:rPr>
        <w:softHyphen/>
        <w:t xml:space="preserve">veaux crédits accordés étaient plus faibles que le montant des crédits remboursés), la masse monétaire s'est réduite. </w:t>
      </w:r>
    </w:p>
    <w:p w:rsidR="00893E5D" w:rsidRPr="00893E5D" w:rsidRDefault="00893E5D" w:rsidP="00893E5D">
      <w:pPr>
        <w:pStyle w:val="Style"/>
        <w:spacing w:before="62"/>
        <w:ind w:left="19" w:right="43"/>
        <w:jc w:val="both"/>
        <w:rPr>
          <w:w w:val="109"/>
          <w:sz w:val="8"/>
          <w:szCs w:val="8"/>
        </w:rPr>
      </w:pPr>
    </w:p>
    <w:p w:rsidR="00893E5D" w:rsidRPr="00E22C25" w:rsidRDefault="00893E5D" w:rsidP="00893E5D">
      <w:pPr>
        <w:pStyle w:val="Style"/>
        <w:ind w:right="38"/>
        <w:jc w:val="both"/>
        <w:rPr>
          <w:w w:val="109"/>
          <w:sz w:val="20"/>
          <w:szCs w:val="20"/>
        </w:rPr>
      </w:pPr>
      <w:r>
        <w:rPr>
          <w:w w:val="109"/>
          <w:sz w:val="20"/>
          <w:szCs w:val="20"/>
        </w:rPr>
        <w:t>E. Le Héron</w:t>
      </w:r>
      <w:r w:rsidRPr="00E22C25">
        <w:rPr>
          <w:w w:val="109"/>
          <w:sz w:val="20"/>
          <w:szCs w:val="20"/>
        </w:rPr>
        <w:t xml:space="preserve">, </w:t>
      </w:r>
      <w:r w:rsidRPr="00E22C25">
        <w:rPr>
          <w:i/>
          <w:w w:val="109"/>
          <w:sz w:val="20"/>
          <w:szCs w:val="20"/>
        </w:rPr>
        <w:t>A quoi sert la Banque centrale européenne ?</w:t>
      </w:r>
      <w:r w:rsidRPr="00E22C25">
        <w:rPr>
          <w:w w:val="109"/>
          <w:sz w:val="20"/>
          <w:szCs w:val="20"/>
        </w:rPr>
        <w:t>, La documentation française 2016</w:t>
      </w:r>
    </w:p>
    <w:p w:rsidR="00B71208" w:rsidRPr="00E22C25" w:rsidRDefault="00B71208" w:rsidP="004F29C7">
      <w:pPr>
        <w:spacing w:line="240" w:lineRule="auto"/>
        <w:jc w:val="both"/>
        <w:rPr>
          <w:rFonts w:ascii="Arial" w:hAnsi="Arial" w:cs="Arial"/>
          <w:sz w:val="20"/>
          <w:szCs w:val="20"/>
        </w:rPr>
      </w:pPr>
    </w:p>
    <w:p w:rsidR="00757659" w:rsidRDefault="00757659">
      <w:pPr>
        <w:rPr>
          <w:rFonts w:ascii="Arial" w:hAnsi="Arial" w:cs="Arial"/>
          <w:b/>
          <w:sz w:val="20"/>
          <w:szCs w:val="20"/>
          <w:u w:val="single"/>
        </w:rPr>
      </w:pPr>
      <w:r>
        <w:rPr>
          <w:rFonts w:ascii="Arial" w:hAnsi="Arial" w:cs="Arial"/>
          <w:b/>
          <w:sz w:val="20"/>
          <w:szCs w:val="20"/>
          <w:u w:val="single"/>
        </w:rPr>
        <w:br w:type="page"/>
      </w:r>
    </w:p>
    <w:p w:rsidR="00AA43B6" w:rsidRPr="004F29C7" w:rsidRDefault="00AA43B6" w:rsidP="004F29C7">
      <w:pPr>
        <w:spacing w:line="240" w:lineRule="auto"/>
        <w:jc w:val="both"/>
        <w:rPr>
          <w:rFonts w:ascii="Arial" w:hAnsi="Arial" w:cs="Arial"/>
          <w:b/>
          <w:sz w:val="20"/>
          <w:szCs w:val="20"/>
          <w:u w:val="single"/>
        </w:rPr>
      </w:pPr>
      <w:r w:rsidRPr="004F29C7">
        <w:rPr>
          <w:rFonts w:ascii="Arial" w:hAnsi="Arial" w:cs="Arial"/>
          <w:b/>
          <w:sz w:val="20"/>
          <w:szCs w:val="20"/>
          <w:u w:val="single"/>
        </w:rPr>
        <w:lastRenderedPageBreak/>
        <w:t>Document </w:t>
      </w:r>
      <w:r w:rsidR="00CB4656">
        <w:rPr>
          <w:rFonts w:ascii="Arial" w:hAnsi="Arial" w:cs="Arial"/>
          <w:b/>
          <w:sz w:val="20"/>
          <w:szCs w:val="20"/>
          <w:u w:val="single"/>
        </w:rPr>
        <w:t xml:space="preserve">12 </w:t>
      </w:r>
      <w:r w:rsidRPr="004F29C7">
        <w:rPr>
          <w:rFonts w:ascii="Arial" w:hAnsi="Arial" w:cs="Arial"/>
          <w:b/>
          <w:sz w:val="20"/>
          <w:szCs w:val="20"/>
          <w:u w:val="single"/>
        </w:rPr>
        <w:t>: l’objectif de stabilité des prix</w:t>
      </w:r>
    </w:p>
    <w:p w:rsidR="00AA43B6" w:rsidRPr="00E22C25" w:rsidRDefault="00AA43B6" w:rsidP="004F29C7">
      <w:pPr>
        <w:widowControl w:val="0"/>
        <w:autoSpaceDE w:val="0"/>
        <w:autoSpaceDN w:val="0"/>
        <w:adjustRightInd w:val="0"/>
        <w:spacing w:after="0" w:line="240" w:lineRule="auto"/>
        <w:ind w:right="19"/>
        <w:jc w:val="both"/>
        <w:rPr>
          <w:rFonts w:ascii="Arial" w:eastAsiaTheme="minorEastAsia" w:hAnsi="Arial" w:cs="Arial"/>
          <w:w w:val="105"/>
          <w:sz w:val="20"/>
          <w:szCs w:val="20"/>
          <w:lang w:eastAsia="fr-FR"/>
        </w:rPr>
      </w:pPr>
      <w:r w:rsidRPr="00E22C25">
        <w:rPr>
          <w:rFonts w:ascii="Arial" w:eastAsiaTheme="minorEastAsia" w:hAnsi="Arial" w:cs="Arial"/>
          <w:w w:val="109"/>
          <w:sz w:val="20"/>
          <w:szCs w:val="20"/>
          <w:lang w:eastAsia="fr-FR"/>
        </w:rPr>
        <w:t xml:space="preserve">Les traités européens fixent à la BCE l'objectif principal de maintenir la stabilité des prix. Ce mandat est hiérarchique, puis que </w:t>
      </w:r>
      <w:r w:rsidRPr="00E22C25">
        <w:rPr>
          <w:rFonts w:ascii="Arial" w:eastAsiaTheme="minorEastAsia" w:hAnsi="Arial" w:cs="Arial"/>
          <w:w w:val="73"/>
          <w:sz w:val="20"/>
          <w:szCs w:val="20"/>
          <w:lang w:eastAsia="fr-FR"/>
        </w:rPr>
        <w:t xml:space="preserve">« </w:t>
      </w:r>
      <w:r w:rsidRPr="00E22C25">
        <w:rPr>
          <w:rFonts w:ascii="Arial" w:eastAsiaTheme="minorEastAsia" w:hAnsi="Arial" w:cs="Arial"/>
          <w:i/>
          <w:iCs/>
          <w:w w:val="105"/>
          <w:sz w:val="20"/>
          <w:szCs w:val="20"/>
          <w:lang w:eastAsia="fr-FR"/>
        </w:rPr>
        <w:t xml:space="preserve">sans préjudice de cet objectif principal interne», </w:t>
      </w:r>
      <w:r w:rsidRPr="00E22C25">
        <w:rPr>
          <w:rFonts w:ascii="Arial" w:eastAsiaTheme="minorEastAsia" w:hAnsi="Arial" w:cs="Arial"/>
          <w:w w:val="105"/>
          <w:sz w:val="20"/>
          <w:szCs w:val="20"/>
          <w:lang w:eastAsia="fr-FR"/>
        </w:rPr>
        <w:t>la BCE apporte son soutien aux politiques économiques générales dans l'Union, notamment pour une croissance durable et un niveau élevé d'emploi. L'inflation est claire</w:t>
      </w:r>
      <w:r w:rsidRPr="00E22C25">
        <w:rPr>
          <w:rFonts w:ascii="Arial" w:eastAsiaTheme="minorEastAsia" w:hAnsi="Arial" w:cs="Arial"/>
          <w:w w:val="105"/>
          <w:sz w:val="20"/>
          <w:szCs w:val="20"/>
          <w:lang w:eastAsia="fr-FR"/>
        </w:rPr>
        <w:softHyphen/>
        <w:t xml:space="preserve">ment l'objectif prioritaire. </w:t>
      </w:r>
    </w:p>
    <w:p w:rsidR="00AA43B6" w:rsidRPr="00E22C25" w:rsidRDefault="00AA43B6" w:rsidP="004F29C7">
      <w:pPr>
        <w:widowControl w:val="0"/>
        <w:autoSpaceDE w:val="0"/>
        <w:autoSpaceDN w:val="0"/>
        <w:adjustRightInd w:val="0"/>
        <w:spacing w:after="0" w:line="240" w:lineRule="auto"/>
        <w:ind w:right="19"/>
        <w:jc w:val="both"/>
        <w:rPr>
          <w:rFonts w:ascii="Arial" w:eastAsiaTheme="minorEastAsia" w:hAnsi="Arial" w:cs="Arial"/>
          <w:w w:val="109"/>
          <w:sz w:val="20"/>
          <w:szCs w:val="20"/>
          <w:lang w:eastAsia="fr-FR"/>
        </w:rPr>
      </w:pPr>
      <w:r w:rsidRPr="00E22C25">
        <w:rPr>
          <w:rFonts w:ascii="Arial" w:eastAsiaTheme="minorEastAsia" w:hAnsi="Arial" w:cs="Arial"/>
          <w:w w:val="109"/>
          <w:sz w:val="20"/>
          <w:szCs w:val="20"/>
          <w:lang w:eastAsia="fr-FR"/>
        </w:rPr>
        <w:t xml:space="preserve">Fin 1998, le Conseil des gouverneurs a défini la stabilité des prix comme une progression annuelle de l'indice des prix à la consommation harmonisé (IPCH) inférieure à 2 </w:t>
      </w:r>
      <w:r w:rsidRPr="00E22C25">
        <w:rPr>
          <w:rFonts w:ascii="Arial" w:eastAsiaTheme="minorEastAsia" w:hAnsi="Arial" w:cs="Arial"/>
          <w:w w:val="88"/>
          <w:sz w:val="20"/>
          <w:szCs w:val="20"/>
          <w:lang w:eastAsia="fr-FR"/>
        </w:rPr>
        <w:t xml:space="preserve">%. </w:t>
      </w:r>
      <w:r w:rsidRPr="00E22C25">
        <w:rPr>
          <w:rFonts w:ascii="Arial" w:eastAsiaTheme="minorEastAsia" w:hAnsi="Arial" w:cs="Arial"/>
          <w:w w:val="109"/>
          <w:sz w:val="20"/>
          <w:szCs w:val="20"/>
          <w:lang w:eastAsia="fr-FR"/>
        </w:rPr>
        <w:t xml:space="preserve">L'IPCH est calculé mensuellement dans la zone euro par Eurostat (l'Office des statistiques de l'Union européenne). Ce n'est pas une simple moyenne d'indices nationaux, mais bien un indice européen. </w:t>
      </w:r>
    </w:p>
    <w:p w:rsidR="00AA43B6" w:rsidRPr="00E22C25" w:rsidRDefault="00AA43B6" w:rsidP="004F29C7">
      <w:pPr>
        <w:widowControl w:val="0"/>
        <w:autoSpaceDE w:val="0"/>
        <w:autoSpaceDN w:val="0"/>
        <w:adjustRightInd w:val="0"/>
        <w:spacing w:after="0" w:line="240" w:lineRule="auto"/>
        <w:ind w:left="9" w:right="19"/>
        <w:jc w:val="both"/>
        <w:rPr>
          <w:rFonts w:ascii="Arial" w:eastAsiaTheme="minorEastAsia" w:hAnsi="Arial" w:cs="Arial"/>
          <w:w w:val="108"/>
          <w:sz w:val="20"/>
          <w:szCs w:val="20"/>
          <w:lang w:eastAsia="fr-FR"/>
        </w:rPr>
      </w:pPr>
      <w:r w:rsidRPr="00E22C25">
        <w:rPr>
          <w:rFonts w:ascii="Arial" w:eastAsiaTheme="minorEastAsia" w:hAnsi="Arial" w:cs="Arial"/>
          <w:w w:val="108"/>
          <w:sz w:val="20"/>
          <w:szCs w:val="20"/>
          <w:lang w:eastAsia="fr-FR"/>
        </w:rPr>
        <w:t xml:space="preserve">On peut se demander pourquoi la BCE s'est fixé 2 </w:t>
      </w:r>
      <w:r w:rsidRPr="00E22C25">
        <w:rPr>
          <w:rFonts w:ascii="Arial" w:eastAsiaTheme="minorEastAsia" w:hAnsi="Arial" w:cs="Arial"/>
          <w:w w:val="83"/>
          <w:sz w:val="20"/>
          <w:szCs w:val="20"/>
          <w:lang w:eastAsia="fr-FR"/>
        </w:rPr>
        <w:t xml:space="preserve">% </w:t>
      </w:r>
      <w:r w:rsidRPr="00E22C25">
        <w:rPr>
          <w:rFonts w:ascii="Arial" w:eastAsiaTheme="minorEastAsia" w:hAnsi="Arial" w:cs="Arial"/>
          <w:w w:val="108"/>
          <w:sz w:val="20"/>
          <w:szCs w:val="20"/>
          <w:lang w:eastAsia="fr-FR"/>
        </w:rPr>
        <w:t>d'infla</w:t>
      </w:r>
      <w:r w:rsidRPr="00E22C25">
        <w:rPr>
          <w:rFonts w:ascii="Arial" w:eastAsiaTheme="minorEastAsia" w:hAnsi="Arial" w:cs="Arial"/>
          <w:w w:val="108"/>
          <w:sz w:val="20"/>
          <w:szCs w:val="20"/>
          <w:lang w:eastAsia="fr-FR"/>
        </w:rPr>
        <w:softHyphen/>
        <w:t>tion pour objectif. En effet, les économistes sont incapables de fournir un taux optimal d'inflation (mis à part les nou</w:t>
      </w:r>
      <w:r w:rsidRPr="00E22C25">
        <w:rPr>
          <w:rFonts w:ascii="Arial" w:eastAsiaTheme="minorEastAsia" w:hAnsi="Arial" w:cs="Arial"/>
          <w:w w:val="108"/>
          <w:sz w:val="20"/>
          <w:szCs w:val="20"/>
          <w:lang w:eastAsia="fr-FR"/>
        </w:rPr>
        <w:softHyphen/>
        <w:t xml:space="preserve">veaux classiques, pour qui ce taux est de 0 </w:t>
      </w:r>
      <w:r w:rsidRPr="00E22C25">
        <w:rPr>
          <w:rFonts w:ascii="Arial" w:eastAsiaTheme="minorEastAsia" w:hAnsi="Arial" w:cs="Arial"/>
          <w:w w:val="89"/>
          <w:sz w:val="20"/>
          <w:szCs w:val="20"/>
          <w:lang w:eastAsia="fr-FR"/>
        </w:rPr>
        <w:t xml:space="preserve">%, </w:t>
      </w:r>
      <w:r w:rsidRPr="00E22C25">
        <w:rPr>
          <w:rFonts w:ascii="Arial" w:eastAsiaTheme="minorEastAsia" w:hAnsi="Arial" w:cs="Arial"/>
          <w:w w:val="108"/>
          <w:sz w:val="20"/>
          <w:szCs w:val="20"/>
          <w:lang w:eastAsia="fr-FR"/>
        </w:rPr>
        <w:t>neutralité de la monnaie oblige). Les nouveaux keynésiens considèrent que ce taux doit être déterminé par le pouvoir politique pour lui conférer une légitimité démocratique, à défaut d'une justification écon</w:t>
      </w:r>
      <w:r w:rsidR="00B71208">
        <w:rPr>
          <w:rFonts w:ascii="Arial" w:eastAsiaTheme="minorEastAsia" w:hAnsi="Arial" w:cs="Arial"/>
          <w:w w:val="108"/>
          <w:sz w:val="20"/>
          <w:szCs w:val="20"/>
          <w:lang w:eastAsia="fr-FR"/>
        </w:rPr>
        <w:t>omique. C'est le cas au Royaume-</w:t>
      </w:r>
      <w:r w:rsidRPr="00E22C25">
        <w:rPr>
          <w:rFonts w:ascii="Arial" w:eastAsiaTheme="minorEastAsia" w:hAnsi="Arial" w:cs="Arial"/>
          <w:w w:val="108"/>
          <w:sz w:val="20"/>
          <w:szCs w:val="20"/>
          <w:lang w:eastAsia="fr-FR"/>
        </w:rPr>
        <w:t xml:space="preserve">Uni ou au Canada. </w:t>
      </w:r>
    </w:p>
    <w:p w:rsidR="00AA43B6" w:rsidRPr="00E22C25" w:rsidRDefault="00AA43B6" w:rsidP="004F29C7">
      <w:pPr>
        <w:widowControl w:val="0"/>
        <w:autoSpaceDE w:val="0"/>
        <w:autoSpaceDN w:val="0"/>
        <w:adjustRightInd w:val="0"/>
        <w:spacing w:before="38" w:after="0" w:line="240" w:lineRule="auto"/>
        <w:ind w:left="33" w:right="14"/>
        <w:jc w:val="both"/>
        <w:rPr>
          <w:rFonts w:ascii="Arial" w:eastAsiaTheme="minorEastAsia" w:hAnsi="Arial" w:cs="Arial"/>
          <w:w w:val="108"/>
          <w:sz w:val="20"/>
          <w:szCs w:val="20"/>
          <w:lang w:eastAsia="fr-FR"/>
        </w:rPr>
      </w:pPr>
      <w:r w:rsidRPr="00E22C25">
        <w:rPr>
          <w:rFonts w:ascii="Arial" w:eastAsiaTheme="minorEastAsia" w:hAnsi="Arial" w:cs="Arial"/>
          <w:w w:val="108"/>
          <w:sz w:val="20"/>
          <w:szCs w:val="20"/>
          <w:lang w:eastAsia="fr-FR"/>
        </w:rPr>
        <w:t>Mais l'indépendance totale de la BCE, affirmée à l'ar</w:t>
      </w:r>
      <w:r w:rsidRPr="00E22C25">
        <w:rPr>
          <w:rFonts w:ascii="Arial" w:eastAsiaTheme="minorEastAsia" w:hAnsi="Arial" w:cs="Arial"/>
          <w:w w:val="108"/>
          <w:sz w:val="20"/>
          <w:szCs w:val="20"/>
          <w:lang w:eastAsia="fr-FR"/>
        </w:rPr>
        <w:softHyphen/>
        <w:t>ticle 130 TFUE, et l'absence d'objectif d'inflation chiffré dans les traités européens ont conduit le Conseil des gou</w:t>
      </w:r>
      <w:r w:rsidRPr="00E22C25">
        <w:rPr>
          <w:rFonts w:ascii="Arial" w:eastAsiaTheme="minorEastAsia" w:hAnsi="Arial" w:cs="Arial"/>
          <w:w w:val="108"/>
          <w:sz w:val="20"/>
          <w:szCs w:val="20"/>
          <w:lang w:eastAsia="fr-FR"/>
        </w:rPr>
        <w:softHyphen/>
        <w:t>verneurs de la BCE à rechercher d'autres justifications: - cet objectif chiffré est le même que celui que s'était fixé la Bundesbank depuis de nombreuses années; la volonté de la BCE de bénéficier de la crédibilité acquise par la banque centrale allemande justifiait de conserver le même objectif; - les banques centrales ayant très peur du risque défla</w:t>
      </w:r>
      <w:r w:rsidRPr="00E22C25">
        <w:rPr>
          <w:rFonts w:ascii="Arial" w:eastAsiaTheme="minorEastAsia" w:hAnsi="Arial" w:cs="Arial"/>
          <w:w w:val="108"/>
          <w:sz w:val="20"/>
          <w:szCs w:val="20"/>
          <w:lang w:eastAsia="fr-FR"/>
        </w:rPr>
        <w:softHyphen/>
        <w:t xml:space="preserve">tionniste et préférant une hausse des prix très modérée, mais positive, un objectif d'inflation à 2 </w:t>
      </w:r>
      <w:r w:rsidRPr="00E22C25">
        <w:rPr>
          <w:rFonts w:ascii="Arial" w:eastAsiaTheme="minorEastAsia" w:hAnsi="Arial" w:cs="Arial"/>
          <w:w w:val="76"/>
          <w:sz w:val="20"/>
          <w:szCs w:val="20"/>
          <w:lang w:eastAsia="fr-FR"/>
        </w:rPr>
        <w:t xml:space="preserve">% </w:t>
      </w:r>
      <w:r w:rsidRPr="00E22C25">
        <w:rPr>
          <w:rFonts w:ascii="Arial" w:eastAsiaTheme="minorEastAsia" w:hAnsi="Arial" w:cs="Arial"/>
          <w:w w:val="108"/>
          <w:sz w:val="20"/>
          <w:szCs w:val="20"/>
          <w:lang w:eastAsia="fr-FR"/>
        </w:rPr>
        <w:t xml:space="preserve">permet de façon pragmatique d'éviter des taux d'inflation négatifs dans certaines régions de la zone euro; </w:t>
      </w:r>
    </w:p>
    <w:p w:rsidR="00AA43B6" w:rsidRPr="00E22C25" w:rsidRDefault="00AA43B6" w:rsidP="004F29C7">
      <w:pPr>
        <w:widowControl w:val="0"/>
        <w:autoSpaceDE w:val="0"/>
        <w:autoSpaceDN w:val="0"/>
        <w:adjustRightInd w:val="0"/>
        <w:spacing w:after="0" w:line="240" w:lineRule="auto"/>
        <w:ind w:left="9" w:right="19"/>
        <w:jc w:val="both"/>
        <w:rPr>
          <w:rFonts w:ascii="Arial" w:eastAsiaTheme="minorEastAsia" w:hAnsi="Arial" w:cs="Arial"/>
          <w:w w:val="85"/>
          <w:sz w:val="20"/>
          <w:szCs w:val="20"/>
          <w:lang w:eastAsia="fr-FR"/>
        </w:rPr>
      </w:pPr>
      <w:r w:rsidRPr="00E22C25">
        <w:rPr>
          <w:rFonts w:ascii="Arial" w:eastAsiaTheme="minorEastAsia" w:hAnsi="Arial" w:cs="Arial"/>
          <w:w w:val="108"/>
          <w:sz w:val="20"/>
          <w:szCs w:val="20"/>
          <w:lang w:eastAsia="fr-FR"/>
        </w:rPr>
        <w:t xml:space="preserve">- cet objectif chiffré prend en compte la surestimation de l'inflation, qui résulte notamment de l'innovation, de la qualité croissante des produits et d'effets de substitution entre produits et points de vente. Aux États-Unis, le rapport de la commission présidée par Michaël </w:t>
      </w:r>
      <w:proofErr w:type="spellStart"/>
      <w:r w:rsidRPr="00E22C25">
        <w:rPr>
          <w:rFonts w:ascii="Arial" w:eastAsiaTheme="minorEastAsia" w:hAnsi="Arial" w:cs="Arial"/>
          <w:w w:val="108"/>
          <w:sz w:val="20"/>
          <w:szCs w:val="20"/>
          <w:lang w:eastAsia="fr-FR"/>
        </w:rPr>
        <w:t>Boskin</w:t>
      </w:r>
      <w:proofErr w:type="spellEnd"/>
      <w:r w:rsidRPr="00E22C25">
        <w:rPr>
          <w:rFonts w:ascii="Arial" w:eastAsiaTheme="minorEastAsia" w:hAnsi="Arial" w:cs="Arial"/>
          <w:w w:val="108"/>
          <w:sz w:val="20"/>
          <w:szCs w:val="20"/>
          <w:lang w:eastAsia="fr-FR"/>
        </w:rPr>
        <w:t xml:space="preserve"> remis au Sénat américain le 4 dé</w:t>
      </w:r>
      <w:r w:rsidR="00B71208">
        <w:rPr>
          <w:rFonts w:ascii="Arial" w:eastAsiaTheme="minorEastAsia" w:hAnsi="Arial" w:cs="Arial"/>
          <w:w w:val="108"/>
          <w:sz w:val="20"/>
          <w:szCs w:val="20"/>
          <w:lang w:eastAsia="fr-FR"/>
        </w:rPr>
        <w:t>cembre 1996 estime que la surestimation de l'inflation par l'I</w:t>
      </w:r>
      <w:r w:rsidRPr="00E22C25">
        <w:rPr>
          <w:rFonts w:ascii="Arial" w:eastAsiaTheme="minorEastAsia" w:hAnsi="Arial" w:cs="Arial"/>
          <w:w w:val="108"/>
          <w:sz w:val="20"/>
          <w:szCs w:val="20"/>
          <w:lang w:eastAsia="fr-FR"/>
        </w:rPr>
        <w:t>P</w:t>
      </w:r>
      <w:r w:rsidR="00B71208">
        <w:rPr>
          <w:rFonts w:ascii="Arial" w:eastAsiaTheme="minorEastAsia" w:hAnsi="Arial" w:cs="Arial"/>
          <w:w w:val="108"/>
          <w:sz w:val="20"/>
          <w:szCs w:val="20"/>
          <w:lang w:eastAsia="fr-FR"/>
        </w:rPr>
        <w:t>C</w:t>
      </w:r>
      <w:r w:rsidRPr="00E22C25">
        <w:rPr>
          <w:rFonts w:ascii="Arial" w:eastAsiaTheme="minorEastAsia" w:hAnsi="Arial" w:cs="Arial"/>
          <w:w w:val="108"/>
          <w:sz w:val="20"/>
          <w:szCs w:val="20"/>
          <w:lang w:eastAsia="fr-FR"/>
        </w:rPr>
        <w:t xml:space="preserve">H était comprise entre 0,8 et 1,6 </w:t>
      </w:r>
      <w:r w:rsidRPr="00E22C25">
        <w:rPr>
          <w:rFonts w:ascii="Arial" w:eastAsiaTheme="minorEastAsia" w:hAnsi="Arial" w:cs="Arial"/>
          <w:w w:val="89"/>
          <w:sz w:val="20"/>
          <w:szCs w:val="20"/>
          <w:lang w:eastAsia="fr-FR"/>
        </w:rPr>
        <w:t xml:space="preserve">%, </w:t>
      </w:r>
      <w:r w:rsidRPr="00E22C25">
        <w:rPr>
          <w:rFonts w:ascii="Arial" w:eastAsiaTheme="minorEastAsia" w:hAnsi="Arial" w:cs="Arial"/>
          <w:w w:val="108"/>
          <w:sz w:val="20"/>
          <w:szCs w:val="20"/>
          <w:lang w:eastAsia="fr-FR"/>
        </w:rPr>
        <w:t xml:space="preserve">un biais ramené en 2001 par David E. </w:t>
      </w:r>
      <w:proofErr w:type="spellStart"/>
      <w:r w:rsidRPr="00E22C25">
        <w:rPr>
          <w:rFonts w:ascii="Arial" w:eastAsiaTheme="minorEastAsia" w:hAnsi="Arial" w:cs="Arial"/>
          <w:w w:val="108"/>
          <w:sz w:val="20"/>
          <w:szCs w:val="20"/>
          <w:lang w:eastAsia="fr-FR"/>
        </w:rPr>
        <w:t>Lebow</w:t>
      </w:r>
      <w:proofErr w:type="spellEnd"/>
      <w:r w:rsidRPr="00E22C25">
        <w:rPr>
          <w:rFonts w:ascii="Arial" w:eastAsiaTheme="minorEastAsia" w:hAnsi="Arial" w:cs="Arial"/>
          <w:w w:val="108"/>
          <w:sz w:val="20"/>
          <w:szCs w:val="20"/>
          <w:lang w:eastAsia="fr-FR"/>
        </w:rPr>
        <w:t xml:space="preserve"> et Jeremy B. </w:t>
      </w:r>
      <w:proofErr w:type="spellStart"/>
      <w:r w:rsidRPr="00E22C25">
        <w:rPr>
          <w:rFonts w:ascii="Arial" w:eastAsiaTheme="minorEastAsia" w:hAnsi="Arial" w:cs="Arial"/>
          <w:w w:val="108"/>
          <w:sz w:val="20"/>
          <w:szCs w:val="20"/>
          <w:lang w:eastAsia="fr-FR"/>
        </w:rPr>
        <w:t>Rudd</w:t>
      </w:r>
      <w:proofErr w:type="spellEnd"/>
      <w:r w:rsidRPr="00E22C25">
        <w:rPr>
          <w:rFonts w:ascii="Arial" w:eastAsiaTheme="minorEastAsia" w:hAnsi="Arial" w:cs="Arial"/>
          <w:w w:val="108"/>
          <w:sz w:val="20"/>
          <w:szCs w:val="20"/>
          <w:lang w:eastAsia="fr-FR"/>
        </w:rPr>
        <w:t xml:space="preserve"> à 0,6 </w:t>
      </w:r>
      <w:r w:rsidRPr="00E22C25">
        <w:rPr>
          <w:rFonts w:ascii="Arial" w:eastAsiaTheme="minorEastAsia" w:hAnsi="Arial" w:cs="Arial"/>
          <w:w w:val="85"/>
          <w:sz w:val="20"/>
          <w:szCs w:val="20"/>
          <w:lang w:eastAsia="fr-FR"/>
        </w:rPr>
        <w:t xml:space="preserve">%. </w:t>
      </w:r>
    </w:p>
    <w:p w:rsidR="00AA43B6" w:rsidRPr="00E22C25" w:rsidRDefault="00AA43B6" w:rsidP="004F29C7">
      <w:pPr>
        <w:widowControl w:val="0"/>
        <w:autoSpaceDE w:val="0"/>
        <w:autoSpaceDN w:val="0"/>
        <w:adjustRightInd w:val="0"/>
        <w:spacing w:after="0" w:line="240" w:lineRule="auto"/>
        <w:ind w:left="9" w:right="19"/>
        <w:jc w:val="both"/>
        <w:rPr>
          <w:rFonts w:ascii="Arial" w:eastAsiaTheme="minorEastAsia" w:hAnsi="Arial" w:cs="Arial"/>
          <w:w w:val="110"/>
          <w:sz w:val="20"/>
          <w:szCs w:val="20"/>
          <w:lang w:eastAsia="fr-FR"/>
        </w:rPr>
      </w:pPr>
      <w:r w:rsidRPr="00E22C25">
        <w:rPr>
          <w:rFonts w:ascii="Arial" w:eastAsiaTheme="minorEastAsia" w:hAnsi="Arial" w:cs="Arial"/>
          <w:w w:val="108"/>
          <w:sz w:val="20"/>
          <w:szCs w:val="20"/>
          <w:lang w:eastAsia="fr-FR"/>
        </w:rPr>
        <w:t>La définition de 1998 signifiait implicitement que l'infla</w:t>
      </w:r>
      <w:r w:rsidRPr="00E22C25">
        <w:rPr>
          <w:rFonts w:ascii="Arial" w:eastAsiaTheme="minorEastAsia" w:hAnsi="Arial" w:cs="Arial"/>
          <w:w w:val="108"/>
          <w:sz w:val="20"/>
          <w:szCs w:val="20"/>
          <w:lang w:eastAsia="fr-FR"/>
        </w:rPr>
        <w:softHyphen/>
        <w:t xml:space="preserve">tion devait être maintenue dans la zone euro dans une fourchette allant de 0 à 2 </w:t>
      </w:r>
      <w:r w:rsidRPr="00E22C25">
        <w:rPr>
          <w:rFonts w:ascii="Arial" w:eastAsiaTheme="minorEastAsia" w:hAnsi="Arial" w:cs="Arial"/>
          <w:w w:val="89"/>
          <w:sz w:val="20"/>
          <w:szCs w:val="20"/>
          <w:lang w:eastAsia="fr-FR"/>
        </w:rPr>
        <w:t xml:space="preserve">%, </w:t>
      </w:r>
      <w:r w:rsidRPr="00E22C25">
        <w:rPr>
          <w:rFonts w:ascii="Arial" w:eastAsiaTheme="minorEastAsia" w:hAnsi="Arial" w:cs="Arial"/>
          <w:w w:val="108"/>
          <w:sz w:val="20"/>
          <w:szCs w:val="20"/>
          <w:lang w:eastAsia="fr-FR"/>
        </w:rPr>
        <w:t>soit un cœur de cible poten</w:t>
      </w:r>
      <w:r w:rsidRPr="00E22C25">
        <w:rPr>
          <w:rFonts w:ascii="Arial" w:eastAsiaTheme="minorEastAsia" w:hAnsi="Arial" w:cs="Arial"/>
          <w:w w:val="108"/>
          <w:sz w:val="20"/>
          <w:szCs w:val="20"/>
          <w:lang w:eastAsia="fr-FR"/>
        </w:rPr>
        <w:softHyphen/>
        <w:t xml:space="preserve">tiel de 1 </w:t>
      </w:r>
      <w:r w:rsidRPr="00E22C25">
        <w:rPr>
          <w:rFonts w:ascii="Arial" w:eastAsiaTheme="minorEastAsia" w:hAnsi="Arial" w:cs="Arial"/>
          <w:w w:val="85"/>
          <w:sz w:val="20"/>
          <w:szCs w:val="20"/>
          <w:lang w:eastAsia="fr-FR"/>
        </w:rPr>
        <w:t xml:space="preserve">%. </w:t>
      </w:r>
      <w:r w:rsidRPr="00E22C25">
        <w:rPr>
          <w:rFonts w:ascii="Arial" w:eastAsiaTheme="minorEastAsia" w:hAnsi="Arial" w:cs="Arial"/>
          <w:w w:val="108"/>
          <w:sz w:val="20"/>
          <w:szCs w:val="20"/>
          <w:lang w:eastAsia="fr-FR"/>
        </w:rPr>
        <w:t xml:space="preserve">En mai 2003, la BCE a clarifié cette définition en l'assouplissant quelque peu: il faut désormais, en matière d'inflation, </w:t>
      </w:r>
      <w:r w:rsidRPr="00E22C25">
        <w:rPr>
          <w:rFonts w:ascii="Arial" w:eastAsiaTheme="minorEastAsia" w:hAnsi="Arial" w:cs="Arial"/>
          <w:i/>
          <w:iCs/>
          <w:w w:val="108"/>
          <w:sz w:val="20"/>
          <w:szCs w:val="20"/>
          <w:lang w:eastAsia="fr-FR"/>
        </w:rPr>
        <w:t xml:space="preserve">«un niveau inférieur, mais proche de </w:t>
      </w:r>
      <w:r w:rsidRPr="00E22C25">
        <w:rPr>
          <w:rFonts w:ascii="Arial" w:eastAsiaTheme="minorEastAsia" w:hAnsi="Arial" w:cs="Arial"/>
          <w:w w:val="108"/>
          <w:sz w:val="20"/>
          <w:szCs w:val="20"/>
          <w:lang w:eastAsia="fr-FR"/>
        </w:rPr>
        <w:t xml:space="preserve">2 </w:t>
      </w:r>
      <w:r w:rsidRPr="00E22C25">
        <w:rPr>
          <w:rFonts w:ascii="Arial" w:eastAsiaTheme="minorEastAsia" w:hAnsi="Arial" w:cs="Arial"/>
          <w:w w:val="83"/>
          <w:sz w:val="20"/>
          <w:szCs w:val="20"/>
          <w:lang w:eastAsia="fr-FR"/>
        </w:rPr>
        <w:t xml:space="preserve">% </w:t>
      </w:r>
      <w:r w:rsidRPr="00E22C25">
        <w:rPr>
          <w:rFonts w:ascii="Arial" w:eastAsiaTheme="minorEastAsia" w:hAnsi="Arial" w:cs="Arial"/>
          <w:i/>
          <w:iCs/>
          <w:w w:val="110"/>
          <w:sz w:val="20"/>
          <w:szCs w:val="20"/>
          <w:lang w:eastAsia="fr-FR"/>
        </w:rPr>
        <w:t xml:space="preserve">à moyen terme </w:t>
      </w:r>
      <w:r w:rsidRPr="00E22C25">
        <w:rPr>
          <w:rFonts w:ascii="Arial" w:eastAsiaTheme="minorEastAsia" w:hAnsi="Arial" w:cs="Arial"/>
          <w:w w:val="110"/>
          <w:sz w:val="20"/>
          <w:szCs w:val="20"/>
          <w:lang w:eastAsia="fr-FR"/>
        </w:rPr>
        <w:t xml:space="preserve">». Ainsi, </w:t>
      </w:r>
      <w:r w:rsidR="00BF6032" w:rsidRPr="00BF6032">
        <w:rPr>
          <w:rFonts w:ascii="Arial" w:eastAsiaTheme="minorEastAsia" w:hAnsi="Arial" w:cs="Arial"/>
          <w:w w:val="110"/>
          <w:sz w:val="20"/>
          <w:szCs w:val="20"/>
          <w:lang w:eastAsia="fr-FR"/>
        </w:rPr>
        <w:t xml:space="preserve">aujourd'hui, le cœur de cible est sans ambiguïté de 2 % à moyen terme. À court terme, le taux d'inflation peut donc être supérieur à 2 % - ce qui laisse plus de souplesse que la définition initiale et permet de mieux lutter contre le risque de déflation et contre les chocs </w:t>
      </w:r>
      <w:r w:rsidRPr="00E22C25">
        <w:rPr>
          <w:rFonts w:ascii="Arial" w:hAnsi="Arial" w:cs="Arial"/>
          <w:w w:val="108"/>
          <w:sz w:val="20"/>
          <w:szCs w:val="20"/>
        </w:rPr>
        <w:t>économiques sans crainte pour la crédibilité de la stratégie de politique monétaire de la BCE.</w:t>
      </w:r>
    </w:p>
    <w:p w:rsidR="00AA43B6" w:rsidRPr="00E22C25" w:rsidRDefault="006F2A3F" w:rsidP="00B71208">
      <w:pPr>
        <w:spacing w:after="0" w:line="240" w:lineRule="auto"/>
        <w:jc w:val="both"/>
        <w:rPr>
          <w:rFonts w:ascii="Arial" w:hAnsi="Arial" w:cs="Arial"/>
          <w:w w:val="112"/>
          <w:sz w:val="20"/>
          <w:szCs w:val="20"/>
        </w:rPr>
      </w:pPr>
      <w:r w:rsidRPr="00E22C25">
        <w:rPr>
          <w:rFonts w:ascii="Arial" w:hAnsi="Arial" w:cs="Arial"/>
          <w:w w:val="112"/>
          <w:sz w:val="20"/>
          <w:szCs w:val="20"/>
        </w:rPr>
        <w:t xml:space="preserve">Pour les monétaristes, la création monétaire peut engendrer de l'inflation, c'est pourquoi il faut en limiter les excès. Ainsi, en 1998, la BCE avait fixé un objectif intermédiaire d'inspiration monétariste pour le pilier monétaire avec un taux de progression de la masse monétaire (calculé selon l'agrégat le plus large M3) de 4,5 </w:t>
      </w:r>
      <w:r w:rsidRPr="00E22C25">
        <w:rPr>
          <w:rFonts w:ascii="Arial" w:hAnsi="Arial" w:cs="Arial"/>
          <w:w w:val="82"/>
          <w:sz w:val="20"/>
          <w:szCs w:val="20"/>
        </w:rPr>
        <w:t xml:space="preserve">% </w:t>
      </w:r>
      <w:r w:rsidRPr="00E22C25">
        <w:rPr>
          <w:rFonts w:ascii="Arial" w:hAnsi="Arial" w:cs="Arial"/>
          <w:w w:val="112"/>
          <w:sz w:val="20"/>
          <w:szCs w:val="20"/>
        </w:rPr>
        <w:t>par an. Mais jamais cet objectif ne fut réalisé, ce qui pouvait entacher la cré</w:t>
      </w:r>
      <w:r w:rsidRPr="00E22C25">
        <w:rPr>
          <w:rFonts w:ascii="Arial" w:hAnsi="Arial" w:cs="Arial"/>
          <w:w w:val="112"/>
          <w:sz w:val="20"/>
          <w:szCs w:val="20"/>
        </w:rPr>
        <w:softHyphen/>
        <w:t xml:space="preserve">dibilité de l'institution de Francfort. Aussi, cet objectif intermédiaire a-t-il été abandonné en 2003; une évolution de la masse monétaire à 4,5 </w:t>
      </w:r>
      <w:r w:rsidRPr="00E22C25">
        <w:rPr>
          <w:rFonts w:ascii="Arial" w:hAnsi="Arial" w:cs="Arial"/>
          <w:w w:val="82"/>
          <w:sz w:val="20"/>
          <w:szCs w:val="20"/>
        </w:rPr>
        <w:t xml:space="preserve">% </w:t>
      </w:r>
      <w:r w:rsidRPr="00E22C25">
        <w:rPr>
          <w:rFonts w:ascii="Arial" w:hAnsi="Arial" w:cs="Arial"/>
          <w:w w:val="112"/>
          <w:sz w:val="20"/>
          <w:szCs w:val="20"/>
        </w:rPr>
        <w:t>est désormais considérée comme un simple indicateur pour l'inflation à long terme. Le dernier élément d'inspiration strictement monétariste a ainsi partiellement disparu de la politique monétaire de la BCE.</w:t>
      </w:r>
    </w:p>
    <w:p w:rsidR="00893E5D" w:rsidRPr="00893E5D" w:rsidRDefault="00893E5D" w:rsidP="00893E5D">
      <w:pPr>
        <w:pStyle w:val="Style"/>
        <w:spacing w:before="62"/>
        <w:ind w:left="19" w:right="43"/>
        <w:jc w:val="both"/>
        <w:rPr>
          <w:w w:val="109"/>
          <w:sz w:val="8"/>
          <w:szCs w:val="8"/>
        </w:rPr>
      </w:pPr>
    </w:p>
    <w:p w:rsidR="00893E5D" w:rsidRPr="00E22C25" w:rsidRDefault="00893E5D" w:rsidP="00893E5D">
      <w:pPr>
        <w:pStyle w:val="Style"/>
        <w:ind w:right="38"/>
        <w:jc w:val="both"/>
        <w:rPr>
          <w:w w:val="109"/>
          <w:sz w:val="20"/>
          <w:szCs w:val="20"/>
        </w:rPr>
      </w:pPr>
      <w:r>
        <w:rPr>
          <w:w w:val="109"/>
          <w:sz w:val="20"/>
          <w:szCs w:val="20"/>
        </w:rPr>
        <w:t>E. Le Héron</w:t>
      </w:r>
      <w:r w:rsidRPr="00E22C25">
        <w:rPr>
          <w:w w:val="109"/>
          <w:sz w:val="20"/>
          <w:szCs w:val="20"/>
        </w:rPr>
        <w:t xml:space="preserve">, </w:t>
      </w:r>
      <w:r w:rsidRPr="00E22C25">
        <w:rPr>
          <w:i/>
          <w:w w:val="109"/>
          <w:sz w:val="20"/>
          <w:szCs w:val="20"/>
        </w:rPr>
        <w:t>A quoi sert la Banque centrale européenne ?</w:t>
      </w:r>
      <w:r w:rsidRPr="00E22C25">
        <w:rPr>
          <w:w w:val="109"/>
          <w:sz w:val="20"/>
          <w:szCs w:val="20"/>
        </w:rPr>
        <w:t>, La documentation française 2016</w:t>
      </w:r>
    </w:p>
    <w:p w:rsidR="00C92567" w:rsidRPr="00E22C25" w:rsidRDefault="00C92567" w:rsidP="004F29C7">
      <w:pPr>
        <w:spacing w:line="240" w:lineRule="auto"/>
        <w:jc w:val="both"/>
        <w:rPr>
          <w:rFonts w:ascii="Arial" w:hAnsi="Arial" w:cs="Arial"/>
          <w:sz w:val="20"/>
          <w:szCs w:val="20"/>
        </w:rPr>
      </w:pPr>
    </w:p>
    <w:p w:rsidR="006F2A3F" w:rsidRPr="00C92567" w:rsidRDefault="006F2A3F" w:rsidP="004F29C7">
      <w:pPr>
        <w:spacing w:line="240" w:lineRule="auto"/>
        <w:jc w:val="both"/>
        <w:rPr>
          <w:rFonts w:ascii="Arial" w:hAnsi="Arial" w:cs="Arial"/>
          <w:b/>
          <w:sz w:val="20"/>
          <w:szCs w:val="20"/>
          <w:u w:val="single"/>
        </w:rPr>
      </w:pPr>
      <w:r w:rsidRPr="00C92567">
        <w:rPr>
          <w:rFonts w:ascii="Arial" w:hAnsi="Arial" w:cs="Arial"/>
          <w:b/>
          <w:sz w:val="20"/>
          <w:szCs w:val="20"/>
          <w:u w:val="single"/>
        </w:rPr>
        <w:t>Document </w:t>
      </w:r>
      <w:r w:rsidR="00CB4656">
        <w:rPr>
          <w:rFonts w:ascii="Arial" w:hAnsi="Arial" w:cs="Arial"/>
          <w:b/>
          <w:sz w:val="20"/>
          <w:szCs w:val="20"/>
          <w:u w:val="single"/>
        </w:rPr>
        <w:t>13</w:t>
      </w:r>
      <w:r w:rsidRPr="00C92567">
        <w:rPr>
          <w:rFonts w:ascii="Arial" w:hAnsi="Arial" w:cs="Arial"/>
          <w:b/>
          <w:sz w:val="20"/>
          <w:szCs w:val="20"/>
          <w:u w:val="single"/>
        </w:rPr>
        <w:t xml:space="preserve">: Pourquoi lutter contre l’inflation ? </w:t>
      </w:r>
    </w:p>
    <w:p w:rsidR="006F2A3F" w:rsidRPr="00E22C25" w:rsidRDefault="006F2A3F" w:rsidP="004F29C7">
      <w:pPr>
        <w:widowControl w:val="0"/>
        <w:autoSpaceDE w:val="0"/>
        <w:autoSpaceDN w:val="0"/>
        <w:adjustRightInd w:val="0"/>
        <w:spacing w:after="0" w:line="240" w:lineRule="auto"/>
        <w:ind w:left="28" w:right="4"/>
        <w:jc w:val="both"/>
        <w:rPr>
          <w:rFonts w:ascii="Arial" w:eastAsiaTheme="minorEastAsia" w:hAnsi="Arial" w:cs="Arial"/>
          <w:sz w:val="20"/>
          <w:szCs w:val="20"/>
          <w:lang w:eastAsia="fr-FR"/>
        </w:rPr>
      </w:pPr>
      <w:r w:rsidRPr="00E22C25">
        <w:rPr>
          <w:rFonts w:ascii="Arial" w:eastAsiaTheme="minorEastAsia" w:hAnsi="Arial" w:cs="Arial"/>
          <w:sz w:val="20"/>
          <w:szCs w:val="20"/>
          <w:lang w:eastAsia="fr-FR"/>
        </w:rPr>
        <w:t>La monnaie est le fondement des contrats dans les sociétés capi</w:t>
      </w:r>
      <w:r w:rsidRPr="00E22C25">
        <w:rPr>
          <w:rFonts w:ascii="Arial" w:eastAsiaTheme="minorEastAsia" w:hAnsi="Arial" w:cs="Arial"/>
          <w:sz w:val="20"/>
          <w:szCs w:val="20"/>
          <w:lang w:eastAsia="fr-FR"/>
        </w:rPr>
        <w:softHyphen/>
        <w:t xml:space="preserve">talistes modernes: contrat de salaire ou contrat d'endettement pour financer la production, par exemple. Toutes les anticipations économiques ainsi que les paris productifs se font en monnaie. Il est donc nécessaire de limiter les variations du niveau général des prix afin de ne pas perturber les calculs des agents économiques et pour éviter de favoriser leur incertitude. </w:t>
      </w:r>
      <w:r w:rsidRPr="00E22C25">
        <w:rPr>
          <w:rFonts w:ascii="Arial" w:eastAsiaTheme="minorEastAsia" w:hAnsi="Arial" w:cs="Arial"/>
          <w:w w:val="83"/>
          <w:sz w:val="20"/>
          <w:szCs w:val="20"/>
          <w:lang w:eastAsia="fr-FR"/>
        </w:rPr>
        <w:t xml:space="preserve">À </w:t>
      </w:r>
      <w:r w:rsidRPr="00E22C25">
        <w:rPr>
          <w:rFonts w:ascii="Arial" w:eastAsiaTheme="minorEastAsia" w:hAnsi="Arial" w:cs="Arial"/>
          <w:sz w:val="20"/>
          <w:szCs w:val="20"/>
          <w:lang w:eastAsia="fr-FR"/>
        </w:rPr>
        <w:t>cet égard, ce n'est pas tant l'inflation qui est gênante que les variations de l'inflation. L:inflation peut également modifier la répartition des revenus et des richesses. Les prêteurs et les détenteurs d'actifs moné</w:t>
      </w:r>
      <w:r w:rsidRPr="00E22C25">
        <w:rPr>
          <w:rFonts w:ascii="Arial" w:eastAsiaTheme="minorEastAsia" w:hAnsi="Arial" w:cs="Arial"/>
          <w:sz w:val="20"/>
          <w:szCs w:val="20"/>
          <w:lang w:eastAsia="fr-FR"/>
        </w:rPr>
        <w:softHyphen/>
        <w:t xml:space="preserve">taires sont pénalisés par l'inflation, alors que celle-ci favorise les emprunteurs et les détenteurs d'actifs physiques. Toutefois, comme elle se situe au </w:t>
      </w:r>
      <w:r w:rsidR="00B71208" w:rsidRPr="00E22C25">
        <w:rPr>
          <w:rFonts w:ascii="Arial" w:eastAsiaTheme="minorEastAsia" w:hAnsi="Arial" w:cs="Arial"/>
          <w:sz w:val="20"/>
          <w:szCs w:val="20"/>
          <w:lang w:eastAsia="fr-FR"/>
        </w:rPr>
        <w:t>cœur</w:t>
      </w:r>
      <w:r w:rsidRPr="00E22C25">
        <w:rPr>
          <w:rFonts w:ascii="Arial" w:eastAsiaTheme="minorEastAsia" w:hAnsi="Arial" w:cs="Arial"/>
          <w:sz w:val="20"/>
          <w:szCs w:val="20"/>
          <w:lang w:eastAsia="fr-FR"/>
        </w:rPr>
        <w:t xml:space="preserve"> des rapports de forces pour la répartition des revenus et des richesses économiques, l'inflation a tendance à pénaliser les plus faibles, qui ne peuvent se protéger contre elle [retraités, chômeurs), et </w:t>
      </w:r>
      <w:r w:rsidRPr="00E22C25">
        <w:rPr>
          <w:rFonts w:ascii="Arial" w:eastAsiaTheme="minorEastAsia" w:hAnsi="Arial" w:cs="Arial"/>
          <w:w w:val="86"/>
          <w:sz w:val="20"/>
          <w:szCs w:val="20"/>
          <w:lang w:eastAsia="fr-FR"/>
        </w:rPr>
        <w:t xml:space="preserve">à </w:t>
      </w:r>
      <w:r w:rsidRPr="00E22C25">
        <w:rPr>
          <w:rFonts w:ascii="Arial" w:eastAsiaTheme="minorEastAsia" w:hAnsi="Arial" w:cs="Arial"/>
          <w:sz w:val="20"/>
          <w:szCs w:val="20"/>
          <w:lang w:eastAsia="fr-FR"/>
        </w:rPr>
        <w:t xml:space="preserve">profiter </w:t>
      </w:r>
      <w:r w:rsidRPr="00E22C25">
        <w:rPr>
          <w:rFonts w:ascii="Arial" w:eastAsiaTheme="minorEastAsia" w:hAnsi="Arial" w:cs="Arial"/>
          <w:w w:val="86"/>
          <w:sz w:val="20"/>
          <w:szCs w:val="20"/>
          <w:lang w:eastAsia="fr-FR"/>
        </w:rPr>
        <w:t xml:space="preserve">à </w:t>
      </w:r>
      <w:r w:rsidRPr="00E22C25">
        <w:rPr>
          <w:rFonts w:ascii="Arial" w:eastAsiaTheme="minorEastAsia" w:hAnsi="Arial" w:cs="Arial"/>
          <w:sz w:val="20"/>
          <w:szCs w:val="20"/>
          <w:lang w:eastAsia="fr-FR"/>
        </w:rPr>
        <w:t xml:space="preserve">ceux qui disposent d'un pouvoir de monopole ou plus généralement d'une position de pouvoir dans la société. </w:t>
      </w:r>
    </w:p>
    <w:p w:rsidR="006F2A3F" w:rsidRPr="00E22C25" w:rsidRDefault="006F2A3F" w:rsidP="004F29C7">
      <w:pPr>
        <w:widowControl w:val="0"/>
        <w:autoSpaceDE w:val="0"/>
        <w:autoSpaceDN w:val="0"/>
        <w:adjustRightInd w:val="0"/>
        <w:spacing w:after="0" w:line="240" w:lineRule="auto"/>
        <w:ind w:left="28" w:right="4"/>
        <w:jc w:val="both"/>
        <w:rPr>
          <w:rFonts w:ascii="Arial" w:eastAsiaTheme="minorEastAsia" w:hAnsi="Arial" w:cs="Arial"/>
          <w:sz w:val="20"/>
          <w:szCs w:val="20"/>
          <w:lang w:eastAsia="fr-FR"/>
        </w:rPr>
      </w:pPr>
      <w:r w:rsidRPr="00E22C25">
        <w:rPr>
          <w:rFonts w:ascii="Arial" w:eastAsiaTheme="minorEastAsia" w:hAnsi="Arial" w:cs="Arial"/>
          <w:sz w:val="20"/>
          <w:szCs w:val="20"/>
          <w:lang w:eastAsia="fr-FR"/>
        </w:rPr>
        <w:t xml:space="preserve">L:inflation joue aussi sur la valeur de la monnaie par rapport aux autres devises, en réduisant la </w:t>
      </w:r>
      <w:r w:rsidRPr="00E22C25">
        <w:rPr>
          <w:rFonts w:ascii="Arial" w:eastAsiaTheme="minorEastAsia" w:hAnsi="Arial" w:cs="Arial"/>
          <w:sz w:val="20"/>
          <w:szCs w:val="20"/>
          <w:lang w:eastAsia="fr-FR"/>
        </w:rPr>
        <w:lastRenderedPageBreak/>
        <w:t xml:space="preserve">compétitivité du pays inflationniste, en creusant son déficit extérieur et, au bout du compte, en faisant baisser son taux de change. </w:t>
      </w:r>
    </w:p>
    <w:p w:rsidR="006F2A3F" w:rsidRPr="00E22C25" w:rsidRDefault="006F2A3F" w:rsidP="004F29C7">
      <w:pPr>
        <w:widowControl w:val="0"/>
        <w:autoSpaceDE w:val="0"/>
        <w:autoSpaceDN w:val="0"/>
        <w:adjustRightInd w:val="0"/>
        <w:spacing w:after="0" w:line="240" w:lineRule="auto"/>
        <w:ind w:left="28" w:right="4"/>
        <w:jc w:val="both"/>
        <w:rPr>
          <w:rFonts w:ascii="Arial" w:eastAsiaTheme="minorEastAsia" w:hAnsi="Arial" w:cs="Arial"/>
          <w:sz w:val="20"/>
          <w:szCs w:val="20"/>
          <w:lang w:eastAsia="fr-FR"/>
        </w:rPr>
      </w:pPr>
      <w:r w:rsidRPr="00E22C25">
        <w:rPr>
          <w:rFonts w:ascii="Arial" w:eastAsiaTheme="minorEastAsia" w:hAnsi="Arial" w:cs="Arial"/>
          <w:sz w:val="20"/>
          <w:szCs w:val="20"/>
          <w:lang w:eastAsia="fr-FR"/>
        </w:rPr>
        <w:t xml:space="preserve">Enfin, l'inflation fait perdre confiance dans l'institution monétaire; en cas d'hyperinflation, elle peut même conduire </w:t>
      </w:r>
      <w:r w:rsidRPr="00E22C25">
        <w:rPr>
          <w:rFonts w:ascii="Arial" w:eastAsiaTheme="minorEastAsia" w:hAnsi="Arial" w:cs="Arial"/>
          <w:w w:val="91"/>
          <w:sz w:val="20"/>
          <w:szCs w:val="20"/>
          <w:lang w:eastAsia="fr-FR"/>
        </w:rPr>
        <w:t xml:space="preserve">à </w:t>
      </w:r>
      <w:r w:rsidRPr="00E22C25">
        <w:rPr>
          <w:rFonts w:ascii="Arial" w:eastAsiaTheme="minorEastAsia" w:hAnsi="Arial" w:cs="Arial"/>
          <w:sz w:val="20"/>
          <w:szCs w:val="20"/>
          <w:lang w:eastAsia="fr-FR"/>
        </w:rPr>
        <w:t xml:space="preserve">la disparition pure et simple d'une monnaie et </w:t>
      </w:r>
      <w:r w:rsidRPr="00E22C25">
        <w:rPr>
          <w:rFonts w:ascii="Arial" w:eastAsiaTheme="minorEastAsia" w:hAnsi="Arial" w:cs="Arial"/>
          <w:w w:val="86"/>
          <w:sz w:val="20"/>
          <w:szCs w:val="20"/>
          <w:lang w:eastAsia="fr-FR"/>
        </w:rPr>
        <w:t xml:space="preserve">à </w:t>
      </w:r>
      <w:r w:rsidRPr="00E22C25">
        <w:rPr>
          <w:rFonts w:ascii="Arial" w:eastAsiaTheme="minorEastAsia" w:hAnsi="Arial" w:cs="Arial"/>
          <w:sz w:val="20"/>
          <w:szCs w:val="20"/>
          <w:lang w:eastAsia="fr-FR"/>
        </w:rPr>
        <w:t xml:space="preserve">la remise en cause de l'autorité de l'État responsable de cette situation. Une économie monétaire de production a donc besoin d'un étalon pour mesurer le travail et les risques productifs qui soit relativement stable dans le temps. </w:t>
      </w:r>
    </w:p>
    <w:p w:rsidR="00893E5D" w:rsidRPr="00893E5D" w:rsidRDefault="00893E5D" w:rsidP="00893E5D">
      <w:pPr>
        <w:pStyle w:val="Style"/>
        <w:spacing w:before="62"/>
        <w:ind w:left="19" w:right="43"/>
        <w:jc w:val="both"/>
        <w:rPr>
          <w:w w:val="109"/>
          <w:sz w:val="8"/>
          <w:szCs w:val="8"/>
        </w:rPr>
      </w:pPr>
    </w:p>
    <w:p w:rsidR="00893E5D" w:rsidRPr="00E22C25" w:rsidRDefault="00893E5D" w:rsidP="00893E5D">
      <w:pPr>
        <w:pStyle w:val="Style"/>
        <w:ind w:right="38"/>
        <w:jc w:val="both"/>
        <w:rPr>
          <w:w w:val="109"/>
          <w:sz w:val="20"/>
          <w:szCs w:val="20"/>
        </w:rPr>
      </w:pPr>
      <w:r>
        <w:rPr>
          <w:w w:val="109"/>
          <w:sz w:val="20"/>
          <w:szCs w:val="20"/>
        </w:rPr>
        <w:t>E. Le Héron</w:t>
      </w:r>
      <w:r w:rsidRPr="00E22C25">
        <w:rPr>
          <w:w w:val="109"/>
          <w:sz w:val="20"/>
          <w:szCs w:val="20"/>
        </w:rPr>
        <w:t xml:space="preserve">, </w:t>
      </w:r>
      <w:r w:rsidRPr="00E22C25">
        <w:rPr>
          <w:i/>
          <w:w w:val="109"/>
          <w:sz w:val="20"/>
          <w:szCs w:val="20"/>
        </w:rPr>
        <w:t>A quoi sert la Banque centrale européenne ?</w:t>
      </w:r>
      <w:r w:rsidRPr="00E22C25">
        <w:rPr>
          <w:w w:val="109"/>
          <w:sz w:val="20"/>
          <w:szCs w:val="20"/>
        </w:rPr>
        <w:t>, La documentation française 2016</w:t>
      </w:r>
    </w:p>
    <w:p w:rsidR="00DB79BA" w:rsidRDefault="00DB79BA" w:rsidP="004F29C7">
      <w:pPr>
        <w:spacing w:line="240" w:lineRule="auto"/>
        <w:jc w:val="both"/>
        <w:rPr>
          <w:rFonts w:ascii="Arial" w:hAnsi="Arial" w:cs="Arial"/>
          <w:sz w:val="8"/>
          <w:szCs w:val="8"/>
        </w:rPr>
      </w:pPr>
    </w:p>
    <w:p w:rsidR="00893E5D" w:rsidRPr="00893E5D" w:rsidRDefault="00893E5D" w:rsidP="004F29C7">
      <w:pPr>
        <w:spacing w:line="240" w:lineRule="auto"/>
        <w:jc w:val="both"/>
        <w:rPr>
          <w:rFonts w:ascii="Arial" w:hAnsi="Arial" w:cs="Arial"/>
          <w:sz w:val="8"/>
          <w:szCs w:val="8"/>
        </w:rPr>
      </w:pPr>
    </w:p>
    <w:p w:rsidR="00B6063A" w:rsidRDefault="007C5293" w:rsidP="00893E5D">
      <w:pPr>
        <w:ind w:left="-284"/>
        <w:rPr>
          <w:rFonts w:ascii="Arial" w:hAnsi="Arial" w:cs="Arial"/>
          <w:b/>
          <w:sz w:val="20"/>
          <w:szCs w:val="20"/>
          <w:u w:val="single"/>
        </w:rPr>
      </w:pPr>
      <w:r>
        <w:rPr>
          <w:rFonts w:ascii="Arial" w:hAnsi="Arial" w:cs="Arial"/>
          <w:b/>
          <w:sz w:val="20"/>
          <w:szCs w:val="20"/>
          <w:u w:val="single"/>
        </w:rPr>
        <w:t>Document</w:t>
      </w:r>
      <w:r w:rsidR="00CB4656">
        <w:rPr>
          <w:rFonts w:ascii="Arial" w:hAnsi="Arial" w:cs="Arial"/>
          <w:b/>
          <w:sz w:val="20"/>
          <w:szCs w:val="20"/>
          <w:u w:val="single"/>
        </w:rPr>
        <w:t xml:space="preserve"> 14</w:t>
      </w:r>
      <w:r>
        <w:rPr>
          <w:rFonts w:ascii="Arial" w:hAnsi="Arial" w:cs="Arial"/>
          <w:b/>
          <w:sz w:val="20"/>
          <w:szCs w:val="20"/>
          <w:u w:val="single"/>
        </w:rPr>
        <w:t> : le taux d’inflation et le crédit aux ménages</w:t>
      </w:r>
      <w:r w:rsidR="00B6063A">
        <w:rPr>
          <w:rFonts w:ascii="Arial" w:hAnsi="Arial" w:cs="Arial"/>
          <w:b/>
          <w:sz w:val="20"/>
          <w:szCs w:val="20"/>
          <w:u w:val="single"/>
        </w:rPr>
        <w:t xml:space="preserve"> et aux entreprises</w:t>
      </w:r>
      <w:r w:rsidR="00B6063A">
        <w:rPr>
          <w:noProof/>
          <w:lang w:eastAsia="fr-FR"/>
        </w:rPr>
        <w:drawing>
          <wp:inline distT="0" distB="0" distL="0" distR="0" wp14:anchorId="71082B0F" wp14:editId="6168C027">
            <wp:extent cx="6102841" cy="357187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5760"/>
                    <a:stretch/>
                  </pic:blipFill>
                  <pic:spPr bwMode="auto">
                    <a:xfrm>
                      <a:off x="0" y="0"/>
                      <a:ext cx="6120938" cy="3582467"/>
                    </a:xfrm>
                    <a:prstGeom prst="rect">
                      <a:avLst/>
                    </a:prstGeom>
                    <a:ln>
                      <a:noFill/>
                    </a:ln>
                    <a:extLst>
                      <a:ext uri="{53640926-AAD7-44D8-BBD7-CCE9431645EC}">
                        <a14:shadowObscured xmlns:a14="http://schemas.microsoft.com/office/drawing/2010/main"/>
                      </a:ext>
                    </a:extLst>
                  </pic:spPr>
                </pic:pic>
              </a:graphicData>
            </a:graphic>
          </wp:inline>
        </w:drawing>
      </w:r>
    </w:p>
    <w:p w:rsidR="00B6063A" w:rsidRDefault="00B6063A" w:rsidP="00893E5D">
      <w:pPr>
        <w:ind w:left="567"/>
        <w:jc w:val="right"/>
        <w:rPr>
          <w:rFonts w:ascii="Arial" w:hAnsi="Arial" w:cs="Arial"/>
          <w:sz w:val="20"/>
          <w:szCs w:val="20"/>
        </w:rPr>
      </w:pPr>
      <w:r w:rsidRPr="00B6063A">
        <w:rPr>
          <w:rFonts w:ascii="Arial" w:hAnsi="Arial" w:cs="Arial"/>
          <w:sz w:val="20"/>
          <w:szCs w:val="20"/>
        </w:rPr>
        <w:t xml:space="preserve">Source : </w:t>
      </w:r>
      <w:hyperlink r:id="rId19" w:history="1">
        <w:r w:rsidRPr="00FC3FA4">
          <w:rPr>
            <w:rStyle w:val="Lienhypertexte"/>
            <w:rFonts w:ascii="Arial" w:hAnsi="Arial" w:cs="Arial"/>
            <w:sz w:val="20"/>
            <w:szCs w:val="20"/>
          </w:rPr>
          <w:t>www.banque-france.fr</w:t>
        </w:r>
      </w:hyperlink>
    </w:p>
    <w:p w:rsidR="0021467F" w:rsidRPr="004F29C7" w:rsidRDefault="0021467F" w:rsidP="004F29C7">
      <w:pPr>
        <w:spacing w:line="240" w:lineRule="auto"/>
        <w:jc w:val="both"/>
        <w:rPr>
          <w:rFonts w:ascii="Arial" w:hAnsi="Arial" w:cs="Arial"/>
          <w:b/>
          <w:sz w:val="20"/>
          <w:szCs w:val="20"/>
          <w:u w:val="single"/>
        </w:rPr>
      </w:pPr>
      <w:r w:rsidRPr="004F29C7">
        <w:rPr>
          <w:rFonts w:ascii="Arial" w:hAnsi="Arial" w:cs="Arial"/>
          <w:b/>
          <w:sz w:val="20"/>
          <w:szCs w:val="20"/>
          <w:u w:val="single"/>
        </w:rPr>
        <w:t>Document </w:t>
      </w:r>
      <w:r w:rsidR="00CB4656">
        <w:rPr>
          <w:rFonts w:ascii="Arial" w:hAnsi="Arial" w:cs="Arial"/>
          <w:b/>
          <w:sz w:val="20"/>
          <w:szCs w:val="20"/>
          <w:u w:val="single"/>
        </w:rPr>
        <w:t xml:space="preserve">15 </w:t>
      </w:r>
      <w:r w:rsidRPr="004F29C7">
        <w:rPr>
          <w:rFonts w:ascii="Arial" w:hAnsi="Arial" w:cs="Arial"/>
          <w:b/>
          <w:sz w:val="20"/>
          <w:szCs w:val="20"/>
          <w:u w:val="single"/>
        </w:rPr>
        <w:t>: causes et limites d’une banque centrale indépendante et crédible</w:t>
      </w:r>
    </w:p>
    <w:p w:rsidR="0021467F" w:rsidRPr="00E22C25" w:rsidRDefault="0021467F" w:rsidP="004F29C7">
      <w:pPr>
        <w:spacing w:line="240" w:lineRule="auto"/>
        <w:jc w:val="both"/>
        <w:rPr>
          <w:rFonts w:ascii="Arial" w:hAnsi="Arial" w:cs="Arial"/>
          <w:sz w:val="20"/>
          <w:szCs w:val="20"/>
        </w:rPr>
      </w:pPr>
      <w:r w:rsidRPr="00E22C25">
        <w:rPr>
          <w:rFonts w:ascii="Arial" w:hAnsi="Arial" w:cs="Arial"/>
          <w:sz w:val="20"/>
          <w:szCs w:val="20"/>
        </w:rPr>
        <w:t xml:space="preserve">Il faut confier la politique monétaire à une banque centrale indépendante du pouvoir politique, politique monétaire à laquelle on assignera comme unique objet la stabilité des prix. Crédibilité  et indépendance, voilà les deux vertus majeures d'une politique monétaire tout entière dédiée à la maîtrise de l'inflation. </w:t>
      </w:r>
    </w:p>
    <w:p w:rsidR="0021467F" w:rsidRPr="00E22C25" w:rsidRDefault="0021467F" w:rsidP="004F29C7">
      <w:pPr>
        <w:spacing w:line="240" w:lineRule="auto"/>
        <w:jc w:val="both"/>
        <w:rPr>
          <w:rFonts w:ascii="Arial" w:hAnsi="Arial" w:cs="Arial"/>
          <w:sz w:val="20"/>
          <w:szCs w:val="20"/>
        </w:rPr>
      </w:pPr>
      <w:r w:rsidRPr="00E22C25">
        <w:rPr>
          <w:rFonts w:ascii="Arial" w:hAnsi="Arial" w:cs="Arial"/>
          <w:sz w:val="20"/>
          <w:szCs w:val="20"/>
        </w:rPr>
        <w:t>L'article académique fondateur, celui qui va théo</w:t>
      </w:r>
      <w:r w:rsidRPr="00E22C25">
        <w:rPr>
          <w:rFonts w:ascii="Arial" w:hAnsi="Arial" w:cs="Arial"/>
          <w:sz w:val="20"/>
          <w:szCs w:val="20"/>
        </w:rPr>
        <w:softHyphen/>
        <w:t>riser le nouveau catéchisme des grandes banques centrales de la planète, est rédigé en 1982 et 1983 par deux économistes américains, Robert J. Barro et David B. Gordon'. Leur thèse est simple: la meil</w:t>
      </w:r>
      <w:r w:rsidRPr="00E22C25">
        <w:rPr>
          <w:rFonts w:ascii="Arial" w:hAnsi="Arial" w:cs="Arial"/>
          <w:sz w:val="20"/>
          <w:szCs w:val="20"/>
        </w:rPr>
        <w:softHyphen/>
        <w:t>leure façon de lutter contre tout biais inflationniste est que les banques centrales soient crédibles, autre</w:t>
      </w:r>
      <w:r w:rsidRPr="00E22C25">
        <w:rPr>
          <w:rFonts w:ascii="Arial" w:hAnsi="Arial" w:cs="Arial"/>
          <w:sz w:val="20"/>
          <w:szCs w:val="20"/>
        </w:rPr>
        <w:softHyphen/>
        <w:t>ment dit que leurs déclarations portant sur l'infla</w:t>
      </w:r>
      <w:r w:rsidRPr="00E22C25">
        <w:rPr>
          <w:rFonts w:ascii="Arial" w:hAnsi="Arial" w:cs="Arial"/>
          <w:sz w:val="20"/>
          <w:szCs w:val="20"/>
        </w:rPr>
        <w:softHyphen/>
        <w:t>tion future soient crues. Ainsi, même si des chocs inflationnistes à court terme se produisent, les agents économiques du pays concerné n'anticiperont pas le retour de l'inflation (on dit que les anticipations d'in</w:t>
      </w:r>
      <w:r w:rsidRPr="00E22C25">
        <w:rPr>
          <w:rFonts w:ascii="Arial" w:hAnsi="Arial" w:cs="Arial"/>
          <w:sz w:val="20"/>
          <w:szCs w:val="20"/>
        </w:rPr>
        <w:softHyphen/>
        <w:t>flation sont « ancrées »}, ce qui facilitera grandement la lutte contre la dérive des prix puisque celle-ci ne sera pas parasitée par une hausse de l'inflation anti</w:t>
      </w:r>
      <w:r w:rsidRPr="00E22C25">
        <w:rPr>
          <w:rFonts w:ascii="Arial" w:hAnsi="Arial" w:cs="Arial"/>
          <w:sz w:val="20"/>
          <w:szCs w:val="20"/>
        </w:rPr>
        <w:softHyphen/>
        <w:t>cipée qui renchérirait encore l'inflation effective. Aux yeux des deux économistes, dès lors que les banques centrales sont « crédibles », on peut espérer mettre les anticipations sous contrôle, et elles seront d'autant plus crédibles qu'elles prendront leur indépendance afin que l</w:t>
      </w:r>
      <w:r w:rsidR="00893E5D">
        <w:rPr>
          <w:rFonts w:ascii="Arial" w:hAnsi="Arial" w:cs="Arial"/>
          <w:sz w:val="20"/>
          <w:szCs w:val="20"/>
        </w:rPr>
        <w:t>eurs décisions ne soient plus « contaminé</w:t>
      </w:r>
      <w:r w:rsidR="00D87EF8">
        <w:rPr>
          <w:rFonts w:ascii="Arial" w:hAnsi="Arial" w:cs="Arial"/>
          <w:sz w:val="20"/>
          <w:szCs w:val="20"/>
        </w:rPr>
        <w:t>e</w:t>
      </w:r>
      <w:r w:rsidR="00893E5D">
        <w:rPr>
          <w:rFonts w:ascii="Arial" w:hAnsi="Arial" w:cs="Arial"/>
          <w:sz w:val="20"/>
          <w:szCs w:val="20"/>
        </w:rPr>
        <w:t>s »</w:t>
      </w:r>
      <w:r w:rsidRPr="00E22C25">
        <w:rPr>
          <w:rFonts w:ascii="Arial" w:hAnsi="Arial" w:cs="Arial"/>
          <w:sz w:val="20"/>
          <w:szCs w:val="20"/>
        </w:rPr>
        <w:t xml:space="preserve"> </w:t>
      </w:r>
      <w:r w:rsidR="006436FB" w:rsidRPr="00E22C25">
        <w:rPr>
          <w:rFonts w:ascii="Arial" w:hAnsi="Arial" w:cs="Arial"/>
          <w:sz w:val="20"/>
          <w:szCs w:val="20"/>
        </w:rPr>
        <w:t>par le politique. Il s'agit de poursuivre un objectif et un seul : une inflation faible, sans jamais succom</w:t>
      </w:r>
      <w:r w:rsidR="006436FB" w:rsidRPr="00E22C25">
        <w:rPr>
          <w:rFonts w:ascii="Arial" w:hAnsi="Arial" w:cs="Arial"/>
          <w:sz w:val="20"/>
          <w:szCs w:val="20"/>
        </w:rPr>
        <w:softHyphen/>
        <w:t>ber à la tentation d'utiliser celle-ci pour réduire le chômage. […]</w:t>
      </w:r>
    </w:p>
    <w:p w:rsidR="006436FB" w:rsidRPr="00E22C25" w:rsidRDefault="006436FB" w:rsidP="004F29C7">
      <w:pPr>
        <w:spacing w:line="240" w:lineRule="auto"/>
        <w:jc w:val="both"/>
        <w:rPr>
          <w:rFonts w:ascii="Arial" w:hAnsi="Arial" w:cs="Arial"/>
          <w:sz w:val="20"/>
          <w:szCs w:val="20"/>
        </w:rPr>
      </w:pPr>
      <w:r w:rsidRPr="00E22C25">
        <w:rPr>
          <w:rFonts w:ascii="Arial" w:hAnsi="Arial" w:cs="Arial"/>
          <w:sz w:val="20"/>
          <w:szCs w:val="20"/>
        </w:rPr>
        <w:t>Sur le plan théorique, l'indépendance de la banque centrale vis-à-vis du pouvoir poli</w:t>
      </w:r>
      <w:r w:rsidRPr="00E22C25">
        <w:rPr>
          <w:rFonts w:ascii="Arial" w:hAnsi="Arial" w:cs="Arial"/>
          <w:sz w:val="20"/>
          <w:szCs w:val="20"/>
        </w:rPr>
        <w:softHyphen/>
        <w:t>tique est fondée sur l'idée, popularisée par Milton Friedmann dès 1963, selon laquelle l'i</w:t>
      </w:r>
      <w:r w:rsidR="00B71208">
        <w:rPr>
          <w:rFonts w:ascii="Arial" w:hAnsi="Arial" w:cs="Arial"/>
          <w:sz w:val="20"/>
          <w:szCs w:val="20"/>
        </w:rPr>
        <w:t>nflation serait « t</w:t>
      </w:r>
      <w:r w:rsidRPr="00E22C25">
        <w:rPr>
          <w:rFonts w:ascii="Arial" w:hAnsi="Arial" w:cs="Arial"/>
          <w:sz w:val="20"/>
          <w:szCs w:val="20"/>
        </w:rPr>
        <w:t>oujours et</w:t>
      </w:r>
      <w:r w:rsidR="00B71208">
        <w:rPr>
          <w:rFonts w:ascii="Arial" w:hAnsi="Arial" w:cs="Arial"/>
          <w:sz w:val="20"/>
          <w:szCs w:val="20"/>
        </w:rPr>
        <w:t xml:space="preserve"> partout un phénomène monétaire »</w:t>
      </w:r>
      <w:r w:rsidRPr="00E22C25">
        <w:rPr>
          <w:rFonts w:ascii="Arial" w:hAnsi="Arial" w:cs="Arial"/>
          <w:sz w:val="20"/>
          <w:szCs w:val="20"/>
        </w:rPr>
        <w:t xml:space="preserve"> et seulement un phénomène monétaire. La circulation monétaire détermine le niveau général des prix sans exercer une action directe sur le rythme de l'activité économique, autrement dit sur la croissance ou l'em</w:t>
      </w:r>
      <w:r w:rsidRPr="00E22C25">
        <w:rPr>
          <w:rFonts w:ascii="Arial" w:hAnsi="Arial" w:cs="Arial"/>
          <w:sz w:val="20"/>
          <w:szCs w:val="20"/>
        </w:rPr>
        <w:softHyphen/>
        <w:t xml:space="preserve">ploi (l'économie réelle). Manière de soutenir qu'une banque centrale peut être </w:t>
      </w:r>
      <w:r w:rsidRPr="00E22C25">
        <w:rPr>
          <w:rFonts w:ascii="Arial" w:hAnsi="Arial" w:cs="Arial"/>
          <w:sz w:val="20"/>
          <w:szCs w:val="20"/>
        </w:rPr>
        <w:lastRenderedPageBreak/>
        <w:t>indépendante et ne s'occu</w:t>
      </w:r>
      <w:r w:rsidRPr="00E22C25">
        <w:rPr>
          <w:rFonts w:ascii="Arial" w:hAnsi="Arial" w:cs="Arial"/>
          <w:sz w:val="20"/>
          <w:szCs w:val="20"/>
        </w:rPr>
        <w:softHyphen/>
        <w:t>per que de son objectif d'inflation puisque son action n'interfère avec aucun des autres volets de la poli</w:t>
      </w:r>
      <w:r w:rsidRPr="00E22C25">
        <w:rPr>
          <w:rFonts w:ascii="Arial" w:hAnsi="Arial" w:cs="Arial"/>
          <w:sz w:val="20"/>
          <w:szCs w:val="20"/>
        </w:rPr>
        <w:softHyphen/>
        <w:t xml:space="preserve">tique économique qui, eux, influencent l'évolution de l'économie réelle. </w:t>
      </w:r>
    </w:p>
    <w:p w:rsidR="006436FB" w:rsidRPr="00E22C25" w:rsidRDefault="006436FB" w:rsidP="004F29C7">
      <w:pPr>
        <w:spacing w:line="240" w:lineRule="auto"/>
        <w:jc w:val="both"/>
        <w:rPr>
          <w:rFonts w:ascii="Arial" w:hAnsi="Arial" w:cs="Arial"/>
          <w:sz w:val="20"/>
          <w:szCs w:val="20"/>
        </w:rPr>
      </w:pPr>
      <w:r w:rsidRPr="00E22C25">
        <w:rPr>
          <w:rFonts w:ascii="Arial" w:hAnsi="Arial" w:cs="Arial"/>
          <w:sz w:val="20"/>
          <w:szCs w:val="20"/>
        </w:rPr>
        <w:t xml:space="preserve">Mais cette neutralité monétaire est un mythe. Elle n'existe pas. Les banques centrales influencent par toutes sortes de canaux l'économie réelle. Elles agissent sur les finances publiques puisqu'elles achètent des dettes publiques dans le cadre du </w:t>
      </w:r>
      <w:r w:rsidRPr="00E22C25">
        <w:rPr>
          <w:rFonts w:ascii="Arial" w:hAnsi="Arial" w:cs="Arial"/>
          <w:i/>
          <w:iCs/>
          <w:sz w:val="20"/>
          <w:szCs w:val="20"/>
        </w:rPr>
        <w:t xml:space="preserve">Quantitative </w:t>
      </w:r>
      <w:proofErr w:type="spellStart"/>
      <w:r w:rsidRPr="00E22C25">
        <w:rPr>
          <w:rFonts w:ascii="Arial" w:hAnsi="Arial" w:cs="Arial"/>
          <w:i/>
          <w:iCs/>
          <w:sz w:val="20"/>
          <w:szCs w:val="20"/>
        </w:rPr>
        <w:t>Easing</w:t>
      </w:r>
      <w:proofErr w:type="spellEnd"/>
      <w:r w:rsidRPr="00E22C25">
        <w:rPr>
          <w:rFonts w:ascii="Arial" w:hAnsi="Arial" w:cs="Arial"/>
          <w:i/>
          <w:iCs/>
          <w:sz w:val="20"/>
          <w:szCs w:val="20"/>
        </w:rPr>
        <w:t xml:space="preserve">. </w:t>
      </w:r>
      <w:r w:rsidRPr="00E22C25">
        <w:rPr>
          <w:rFonts w:ascii="Arial" w:hAnsi="Arial" w:cs="Arial"/>
          <w:sz w:val="20"/>
          <w:szCs w:val="20"/>
        </w:rPr>
        <w:t>Aux États-Unis, la Fed détient un encours de dette publique correspondant à près de 15 % du PIB en valeur, la Banque d'Angleterre plus de 20 %, la Banque du Japon plus de 40 %. Elles influent sur l'évolution des exportations et des inves</w:t>
      </w:r>
      <w:r w:rsidRPr="00E22C25">
        <w:rPr>
          <w:rFonts w:ascii="Arial" w:hAnsi="Arial" w:cs="Arial"/>
          <w:sz w:val="20"/>
          <w:szCs w:val="20"/>
        </w:rPr>
        <w:softHyphen/>
        <w:t>tissements des entreprises, la formation des salaires, dès lors qu'elles interviennent sur les taux de change. Elles orientent aussi l'évolution de l'investissement logement puisqu'elles achètent des actifs finan</w:t>
      </w:r>
      <w:r w:rsidRPr="00E22C25">
        <w:rPr>
          <w:rFonts w:ascii="Arial" w:hAnsi="Arial" w:cs="Arial"/>
          <w:sz w:val="20"/>
          <w:szCs w:val="20"/>
        </w:rPr>
        <w:softHyphen/>
        <w:t>ciers qui refinancent les crédits immobiliers (aux États-Unis, la Réserve fédérale détient une part des encours d'</w:t>
      </w:r>
      <w:proofErr w:type="spellStart"/>
      <w:r w:rsidRPr="00E22C25">
        <w:rPr>
          <w:rFonts w:ascii="Arial" w:hAnsi="Arial" w:cs="Arial"/>
          <w:sz w:val="20"/>
          <w:szCs w:val="20"/>
        </w:rPr>
        <w:t>Asset</w:t>
      </w:r>
      <w:proofErr w:type="spellEnd"/>
      <w:r w:rsidRPr="00E22C25">
        <w:rPr>
          <w:rFonts w:ascii="Arial" w:hAnsi="Arial" w:cs="Arial"/>
          <w:sz w:val="20"/>
          <w:szCs w:val="20"/>
        </w:rPr>
        <w:t xml:space="preserve"> </w:t>
      </w:r>
      <w:proofErr w:type="spellStart"/>
      <w:r w:rsidRPr="00E22C25">
        <w:rPr>
          <w:rFonts w:ascii="Arial" w:hAnsi="Arial" w:cs="Arial"/>
          <w:sz w:val="20"/>
          <w:szCs w:val="20"/>
        </w:rPr>
        <w:t>Backed</w:t>
      </w:r>
      <w:proofErr w:type="spellEnd"/>
      <w:r w:rsidRPr="00E22C25">
        <w:rPr>
          <w:rFonts w:ascii="Arial" w:hAnsi="Arial" w:cs="Arial"/>
          <w:sz w:val="20"/>
          <w:szCs w:val="20"/>
        </w:rPr>
        <w:t xml:space="preserve"> Securities (ABS), ces produits financiers adossés en particulier à des crédits hypothé</w:t>
      </w:r>
      <w:r w:rsidRPr="00E22C25">
        <w:rPr>
          <w:rFonts w:ascii="Arial" w:hAnsi="Arial" w:cs="Arial"/>
          <w:sz w:val="20"/>
          <w:szCs w:val="20"/>
        </w:rPr>
        <w:softHyphen/>
        <w:t xml:space="preserve">caires, équivalant à quelque 10% du PIB en valeur). Sans parler de l'impact des politiques monétaires sur la redistribution des revenus par le biais des effets de richesse qui sont devenus, comme on l'a vu, l'un des canaux privilégiés utilisés par les banques centrales pour tenter de soutenir la demande. Les conditions théoriques nécessaires à l'indépendance des banques centrales ne sont donc plus réunies. </w:t>
      </w:r>
    </w:p>
    <w:p w:rsidR="006436FB" w:rsidRPr="00E22C25" w:rsidRDefault="006436FB" w:rsidP="004F29C7">
      <w:pPr>
        <w:spacing w:line="240" w:lineRule="auto"/>
        <w:jc w:val="both"/>
        <w:rPr>
          <w:rFonts w:ascii="Arial" w:hAnsi="Arial" w:cs="Arial"/>
          <w:sz w:val="20"/>
          <w:szCs w:val="20"/>
        </w:rPr>
      </w:pPr>
      <w:r w:rsidRPr="00E22C25">
        <w:rPr>
          <w:rFonts w:ascii="Arial" w:hAnsi="Arial" w:cs="Arial"/>
          <w:sz w:val="20"/>
          <w:szCs w:val="20"/>
        </w:rPr>
        <w:t>Dès lors que les banques centrales influencent à moyen terme non seulement l'inflation, mais de nombreux comportements de l'économie réelle, l'absence de coordination entre la politique moné</w:t>
      </w:r>
      <w:r w:rsidRPr="00E22C25">
        <w:rPr>
          <w:rFonts w:ascii="Arial" w:hAnsi="Arial" w:cs="Arial"/>
          <w:sz w:val="20"/>
          <w:szCs w:val="20"/>
        </w:rPr>
        <w:softHyphen/>
        <w:t>taire et les autres composantes de la politique écono</w:t>
      </w:r>
      <w:r w:rsidRPr="00E22C25">
        <w:rPr>
          <w:rFonts w:ascii="Arial" w:hAnsi="Arial" w:cs="Arial"/>
          <w:sz w:val="20"/>
          <w:szCs w:val="20"/>
        </w:rPr>
        <w:softHyphen/>
        <w:t>mique a forcément un coût élevé (sur le plan national comme international avec la montée des désordres sur les monnaies et les taux de change) : dans un monde complexe, l'indépendance d'un des acteurs a tendance à produire des décisions sous-optimales. C'est la théo</w:t>
      </w:r>
      <w:r w:rsidRPr="00E22C25">
        <w:rPr>
          <w:rFonts w:ascii="Arial" w:hAnsi="Arial" w:cs="Arial"/>
          <w:sz w:val="20"/>
          <w:szCs w:val="20"/>
        </w:rPr>
        <w:softHyphen/>
        <w:t xml:space="preserve">rie économique qui </w:t>
      </w:r>
      <w:r w:rsidR="00937FFC">
        <w:rPr>
          <w:rFonts w:ascii="Arial" w:hAnsi="Arial" w:cs="Arial"/>
          <w:sz w:val="20"/>
          <w:szCs w:val="20"/>
        </w:rPr>
        <w:t>nous le dit : la politique moné</w:t>
      </w:r>
      <w:r w:rsidRPr="00E22C25">
        <w:rPr>
          <w:rFonts w:ascii="Arial" w:hAnsi="Arial" w:cs="Arial"/>
          <w:sz w:val="20"/>
          <w:szCs w:val="20"/>
        </w:rPr>
        <w:t xml:space="preserve">taire doit donc être coordonnée avec les autres volets de la politique économique (budgétaire, fiscale, </w:t>
      </w:r>
      <w:r w:rsidR="00937FFC">
        <w:rPr>
          <w:rFonts w:ascii="Arial" w:hAnsi="Arial" w:cs="Arial"/>
          <w:sz w:val="20"/>
          <w:szCs w:val="20"/>
        </w:rPr>
        <w:t>sala</w:t>
      </w:r>
      <w:r w:rsidR="00893E5D">
        <w:rPr>
          <w:rFonts w:ascii="Arial" w:hAnsi="Arial" w:cs="Arial"/>
          <w:sz w:val="20"/>
          <w:szCs w:val="20"/>
        </w:rPr>
        <w:t>riale, de compétitivité...</w:t>
      </w:r>
      <w:r w:rsidRPr="00E22C25">
        <w:rPr>
          <w:rFonts w:ascii="Arial" w:hAnsi="Arial" w:cs="Arial"/>
          <w:sz w:val="20"/>
          <w:szCs w:val="20"/>
        </w:rPr>
        <w:t>). Et lorsqu'on parle de coor</w:t>
      </w:r>
      <w:r w:rsidRPr="00E22C25">
        <w:rPr>
          <w:rFonts w:ascii="Arial" w:hAnsi="Arial" w:cs="Arial"/>
          <w:sz w:val="20"/>
          <w:szCs w:val="20"/>
        </w:rPr>
        <w:softHyphen/>
        <w:t xml:space="preserve">dination, il ne s'agit pas simplement d'aller raconter </w:t>
      </w:r>
      <w:r w:rsidR="00E22FC9" w:rsidRPr="00E22C25">
        <w:rPr>
          <w:rFonts w:ascii="Arial" w:hAnsi="Arial" w:cs="Arial"/>
          <w:sz w:val="20"/>
          <w:szCs w:val="20"/>
        </w:rPr>
        <w:t>une fois par an devant le Parlement ce que l'on a l'in</w:t>
      </w:r>
      <w:r w:rsidR="00E22FC9" w:rsidRPr="00E22C25">
        <w:rPr>
          <w:rFonts w:ascii="Arial" w:hAnsi="Arial" w:cs="Arial"/>
          <w:sz w:val="20"/>
          <w:szCs w:val="20"/>
        </w:rPr>
        <w:softHyphen/>
        <w:t>tention de faire, mais de ve</w:t>
      </w:r>
      <w:r w:rsidR="00937FFC">
        <w:rPr>
          <w:rFonts w:ascii="Arial" w:hAnsi="Arial" w:cs="Arial"/>
          <w:sz w:val="20"/>
          <w:szCs w:val="20"/>
        </w:rPr>
        <w:t xml:space="preserve">iller à ce que les décisions de </w:t>
      </w:r>
      <w:r w:rsidR="00E22FC9" w:rsidRPr="00E22C25">
        <w:rPr>
          <w:rFonts w:ascii="Arial" w:hAnsi="Arial" w:cs="Arial"/>
          <w:sz w:val="20"/>
          <w:szCs w:val="20"/>
        </w:rPr>
        <w:t>politique monétaire n'entrent pas en conflit avec celles de politique budgétair</w:t>
      </w:r>
      <w:r w:rsidR="00937FFC">
        <w:rPr>
          <w:rFonts w:ascii="Arial" w:hAnsi="Arial" w:cs="Arial"/>
          <w:sz w:val="20"/>
          <w:szCs w:val="20"/>
        </w:rPr>
        <w:t>e ou fiscale au point de parasi</w:t>
      </w:r>
      <w:r w:rsidR="00E22FC9" w:rsidRPr="00E22C25">
        <w:rPr>
          <w:rFonts w:ascii="Arial" w:hAnsi="Arial" w:cs="Arial"/>
          <w:sz w:val="20"/>
          <w:szCs w:val="20"/>
        </w:rPr>
        <w:t>ter et/ou d'affaiblir la politique économique.</w:t>
      </w:r>
    </w:p>
    <w:p w:rsidR="00B71208" w:rsidRDefault="00E22FC9" w:rsidP="00B71208">
      <w:pPr>
        <w:spacing w:line="240" w:lineRule="auto"/>
        <w:ind w:left="567"/>
        <w:jc w:val="both"/>
        <w:rPr>
          <w:rFonts w:ascii="Arial" w:hAnsi="Arial" w:cs="Arial"/>
          <w:sz w:val="20"/>
          <w:szCs w:val="20"/>
        </w:rPr>
      </w:pPr>
      <w:r w:rsidRPr="00E22C25">
        <w:rPr>
          <w:rFonts w:ascii="Arial" w:hAnsi="Arial" w:cs="Arial"/>
          <w:sz w:val="20"/>
          <w:szCs w:val="20"/>
        </w:rPr>
        <w:t xml:space="preserve">P. Artus, M-P. </w:t>
      </w:r>
      <w:proofErr w:type="spellStart"/>
      <w:r w:rsidRPr="00E22C25">
        <w:rPr>
          <w:rFonts w:ascii="Arial" w:hAnsi="Arial" w:cs="Arial"/>
          <w:sz w:val="20"/>
          <w:szCs w:val="20"/>
        </w:rPr>
        <w:t>Virard</w:t>
      </w:r>
      <w:proofErr w:type="spellEnd"/>
      <w:r w:rsidRPr="00E22C25">
        <w:rPr>
          <w:rFonts w:ascii="Arial" w:hAnsi="Arial" w:cs="Arial"/>
          <w:sz w:val="20"/>
          <w:szCs w:val="20"/>
        </w:rPr>
        <w:t xml:space="preserve">, </w:t>
      </w:r>
      <w:r w:rsidRPr="00E22C25">
        <w:rPr>
          <w:rFonts w:ascii="Arial" w:hAnsi="Arial" w:cs="Arial"/>
          <w:i/>
          <w:sz w:val="20"/>
          <w:szCs w:val="20"/>
        </w:rPr>
        <w:t>La folie des banques centrales</w:t>
      </w:r>
      <w:r w:rsidRPr="00E22C25">
        <w:rPr>
          <w:rFonts w:ascii="Arial" w:hAnsi="Arial" w:cs="Arial"/>
          <w:sz w:val="20"/>
          <w:szCs w:val="20"/>
        </w:rPr>
        <w:t>, Fayard 2016</w:t>
      </w:r>
    </w:p>
    <w:p w:rsidR="006F2A3F" w:rsidRPr="004F29C7" w:rsidRDefault="006F2A3F" w:rsidP="004F29C7">
      <w:pPr>
        <w:spacing w:line="240" w:lineRule="auto"/>
        <w:jc w:val="both"/>
        <w:rPr>
          <w:rFonts w:ascii="Arial" w:hAnsi="Arial" w:cs="Arial"/>
          <w:b/>
          <w:sz w:val="20"/>
          <w:szCs w:val="20"/>
          <w:u w:val="single"/>
        </w:rPr>
      </w:pPr>
      <w:r w:rsidRPr="004F29C7">
        <w:rPr>
          <w:rFonts w:ascii="Arial" w:hAnsi="Arial" w:cs="Arial"/>
          <w:b/>
          <w:sz w:val="20"/>
          <w:szCs w:val="20"/>
          <w:u w:val="single"/>
        </w:rPr>
        <w:t>Document </w:t>
      </w:r>
      <w:r w:rsidR="00CB4656">
        <w:rPr>
          <w:rFonts w:ascii="Arial" w:hAnsi="Arial" w:cs="Arial"/>
          <w:b/>
          <w:sz w:val="20"/>
          <w:szCs w:val="20"/>
          <w:u w:val="single"/>
        </w:rPr>
        <w:t xml:space="preserve"> 16 </w:t>
      </w:r>
      <w:r w:rsidRPr="004F29C7">
        <w:rPr>
          <w:rFonts w:ascii="Arial" w:hAnsi="Arial" w:cs="Arial"/>
          <w:b/>
          <w:sz w:val="20"/>
          <w:szCs w:val="20"/>
          <w:u w:val="single"/>
        </w:rPr>
        <w:t>: les taux directeurs de la BCE</w:t>
      </w:r>
    </w:p>
    <w:p w:rsidR="00F95F66" w:rsidRPr="00E22C25" w:rsidRDefault="00F95F66" w:rsidP="004F29C7">
      <w:pPr>
        <w:pStyle w:val="Style"/>
        <w:spacing w:before="43"/>
        <w:ind w:left="158" w:right="4"/>
        <w:jc w:val="both"/>
        <w:rPr>
          <w:w w:val="108"/>
          <w:sz w:val="20"/>
          <w:szCs w:val="20"/>
        </w:rPr>
      </w:pPr>
      <w:r w:rsidRPr="00E22C25">
        <w:rPr>
          <w:w w:val="108"/>
          <w:sz w:val="20"/>
          <w:szCs w:val="20"/>
        </w:rPr>
        <w:t xml:space="preserve">La BCE fixe </w:t>
      </w:r>
      <w:r w:rsidR="004F29C7">
        <w:rPr>
          <w:w w:val="108"/>
          <w:sz w:val="20"/>
          <w:szCs w:val="20"/>
        </w:rPr>
        <w:t xml:space="preserve">trois taux directeurs </w:t>
      </w:r>
      <w:r w:rsidRPr="00E22C25">
        <w:rPr>
          <w:w w:val="108"/>
          <w:sz w:val="20"/>
          <w:szCs w:val="20"/>
        </w:rPr>
        <w:t xml:space="preserve">: </w:t>
      </w:r>
    </w:p>
    <w:p w:rsidR="00F95F66" w:rsidRPr="00E22C25" w:rsidRDefault="00F95F66" w:rsidP="004F29C7">
      <w:pPr>
        <w:pStyle w:val="Style"/>
        <w:spacing w:before="48"/>
        <w:ind w:left="91" w:right="52"/>
        <w:jc w:val="both"/>
        <w:rPr>
          <w:w w:val="108"/>
          <w:sz w:val="20"/>
          <w:szCs w:val="20"/>
        </w:rPr>
      </w:pPr>
      <w:r w:rsidRPr="00E22C25">
        <w:rPr>
          <w:w w:val="108"/>
          <w:sz w:val="20"/>
          <w:szCs w:val="20"/>
        </w:rPr>
        <w:t xml:space="preserve">- le </w:t>
      </w:r>
      <w:r w:rsidRPr="00E22C25">
        <w:rPr>
          <w:i/>
          <w:iCs/>
          <w:w w:val="108"/>
          <w:sz w:val="20"/>
          <w:szCs w:val="20"/>
        </w:rPr>
        <w:t xml:space="preserve">taux de refinancement par appel d'offres </w:t>
      </w:r>
      <w:r w:rsidRPr="00E22C25">
        <w:rPr>
          <w:w w:val="108"/>
          <w:sz w:val="20"/>
          <w:szCs w:val="20"/>
        </w:rPr>
        <w:t xml:space="preserve">ou taux de </w:t>
      </w:r>
      <w:r w:rsidRPr="00E22C25">
        <w:rPr>
          <w:i/>
          <w:iCs/>
          <w:w w:val="108"/>
          <w:sz w:val="20"/>
          <w:szCs w:val="20"/>
        </w:rPr>
        <w:t xml:space="preserve">l'open </w:t>
      </w:r>
      <w:proofErr w:type="spellStart"/>
      <w:r w:rsidRPr="00E22C25">
        <w:rPr>
          <w:i/>
          <w:iCs/>
          <w:w w:val="108"/>
          <w:sz w:val="20"/>
          <w:szCs w:val="20"/>
        </w:rPr>
        <w:t>market</w:t>
      </w:r>
      <w:proofErr w:type="spellEnd"/>
      <w:r w:rsidRPr="00E22C25">
        <w:rPr>
          <w:i/>
          <w:iCs/>
          <w:w w:val="108"/>
          <w:sz w:val="20"/>
          <w:szCs w:val="20"/>
        </w:rPr>
        <w:t xml:space="preserve">. </w:t>
      </w:r>
      <w:r w:rsidRPr="00E22C25">
        <w:rPr>
          <w:w w:val="108"/>
          <w:sz w:val="20"/>
          <w:szCs w:val="20"/>
        </w:rPr>
        <w:t xml:space="preserve">Ce taux est de loin le plus important, car il correspond aux opérations principales de refinancement et constitue normalement le taux le moins cher auquel les banques peuvent se refinancer. Cependant, la BCE ne satisfait pas obligatoirement toutes les demandes de refinancement à ce taux; </w:t>
      </w:r>
    </w:p>
    <w:p w:rsidR="00F95F66" w:rsidRPr="00E22C25" w:rsidRDefault="00F95F66" w:rsidP="004F29C7">
      <w:pPr>
        <w:pStyle w:val="Style"/>
        <w:spacing w:before="48"/>
        <w:ind w:left="91" w:right="52"/>
        <w:jc w:val="both"/>
        <w:rPr>
          <w:w w:val="108"/>
          <w:sz w:val="20"/>
          <w:szCs w:val="20"/>
        </w:rPr>
      </w:pPr>
      <w:r w:rsidRPr="00E22C25">
        <w:rPr>
          <w:w w:val="108"/>
          <w:sz w:val="20"/>
          <w:szCs w:val="20"/>
        </w:rPr>
        <w:t xml:space="preserve">- le </w:t>
      </w:r>
      <w:r w:rsidRPr="00E22C25">
        <w:rPr>
          <w:i/>
          <w:iCs/>
          <w:w w:val="108"/>
          <w:sz w:val="20"/>
          <w:szCs w:val="20"/>
        </w:rPr>
        <w:t xml:space="preserve">taux d'intérêt de la facilité de prêt marginal. </w:t>
      </w:r>
      <w:r w:rsidRPr="00E22C25">
        <w:rPr>
          <w:w w:val="108"/>
          <w:sz w:val="20"/>
          <w:szCs w:val="20"/>
        </w:rPr>
        <w:t xml:space="preserve">Ce taux, qui est normalement supérieur de 1 </w:t>
      </w:r>
      <w:r w:rsidRPr="00E22C25">
        <w:rPr>
          <w:w w:val="90"/>
          <w:sz w:val="20"/>
          <w:szCs w:val="20"/>
        </w:rPr>
        <w:t xml:space="preserve">% </w:t>
      </w:r>
      <w:r w:rsidRPr="00E22C25">
        <w:rPr>
          <w:w w:val="108"/>
          <w:sz w:val="20"/>
          <w:szCs w:val="20"/>
        </w:rPr>
        <w:t xml:space="preserve">au taux par appel d'offres, correspond à un taux plafond ou maximum, auquel la BCE s'engage à fournir pour 24 heures toute la liquidité demandée si les exigences en matière de garanties sont satisfaites; </w:t>
      </w:r>
    </w:p>
    <w:p w:rsidR="00F95F66" w:rsidRPr="00E22C25" w:rsidRDefault="00F95F66" w:rsidP="004F29C7">
      <w:pPr>
        <w:pStyle w:val="Style"/>
        <w:spacing w:before="48"/>
        <w:ind w:left="91" w:right="52"/>
        <w:jc w:val="both"/>
        <w:rPr>
          <w:w w:val="108"/>
          <w:sz w:val="20"/>
          <w:szCs w:val="20"/>
        </w:rPr>
      </w:pPr>
      <w:r w:rsidRPr="00E22C25">
        <w:rPr>
          <w:w w:val="108"/>
          <w:sz w:val="20"/>
          <w:szCs w:val="20"/>
        </w:rPr>
        <w:t xml:space="preserve">- le </w:t>
      </w:r>
      <w:r w:rsidRPr="00E22C25">
        <w:rPr>
          <w:i/>
          <w:iCs/>
          <w:w w:val="108"/>
          <w:sz w:val="20"/>
          <w:szCs w:val="20"/>
        </w:rPr>
        <w:t xml:space="preserve">taux d'intérêt de la facilité de dépôt. </w:t>
      </w:r>
      <w:r w:rsidRPr="00E22C25">
        <w:rPr>
          <w:w w:val="108"/>
          <w:sz w:val="20"/>
          <w:szCs w:val="20"/>
        </w:rPr>
        <w:t>Ce taux cor</w:t>
      </w:r>
      <w:r w:rsidRPr="00E22C25">
        <w:rPr>
          <w:w w:val="108"/>
          <w:sz w:val="20"/>
          <w:szCs w:val="20"/>
        </w:rPr>
        <w:softHyphen/>
        <w:t xml:space="preserve">respond à la rémunération qu'obtiennent les banques en déposant pour 24 heures leur excédent de monnaie </w:t>
      </w:r>
      <w:r w:rsidRPr="00E22C25">
        <w:rPr>
          <w:w w:val="73"/>
          <w:sz w:val="20"/>
          <w:szCs w:val="20"/>
        </w:rPr>
        <w:t xml:space="preserve">« </w:t>
      </w:r>
      <w:r w:rsidRPr="00E22C25">
        <w:rPr>
          <w:w w:val="108"/>
          <w:sz w:val="20"/>
          <w:szCs w:val="20"/>
        </w:rPr>
        <w:t xml:space="preserve">banque centrale» à la BCE. Cette rémunération est d'ordinaire inférieure d'environ 1 </w:t>
      </w:r>
      <w:r w:rsidRPr="00E22C25">
        <w:rPr>
          <w:w w:val="83"/>
          <w:sz w:val="20"/>
          <w:szCs w:val="20"/>
        </w:rPr>
        <w:t xml:space="preserve">% </w:t>
      </w:r>
      <w:r w:rsidRPr="00E22C25">
        <w:rPr>
          <w:w w:val="108"/>
          <w:sz w:val="20"/>
          <w:szCs w:val="20"/>
        </w:rPr>
        <w:t xml:space="preserve">au taux par appel d'offres. </w:t>
      </w:r>
    </w:p>
    <w:p w:rsidR="00F95F66" w:rsidRDefault="00F95F66" w:rsidP="001655A8">
      <w:pPr>
        <w:pStyle w:val="Style"/>
        <w:spacing w:before="33"/>
        <w:ind w:right="96"/>
        <w:jc w:val="both"/>
        <w:rPr>
          <w:w w:val="108"/>
          <w:sz w:val="20"/>
          <w:szCs w:val="20"/>
        </w:rPr>
      </w:pPr>
      <w:r w:rsidRPr="00E22C25">
        <w:rPr>
          <w:w w:val="108"/>
          <w:sz w:val="20"/>
          <w:szCs w:val="20"/>
        </w:rPr>
        <w:t>Dans la mesure où l'accès aux facilités permanentes de prêt et de dépôt n'est pas limité, ces taux d'intérêt constituent un plafond et un plancher pour le taux du marché au</w:t>
      </w:r>
      <w:r w:rsidR="00D6241E">
        <w:rPr>
          <w:w w:val="108"/>
          <w:sz w:val="20"/>
          <w:szCs w:val="20"/>
        </w:rPr>
        <w:t xml:space="preserve"> </w:t>
      </w:r>
      <w:r w:rsidRPr="00E22C25">
        <w:rPr>
          <w:w w:val="108"/>
          <w:sz w:val="20"/>
          <w:szCs w:val="20"/>
        </w:rPr>
        <w:t xml:space="preserve">jour le jour. Car, outre ces trois taux directeurs fixés par la BCE, il existe un taux résultant de la rencontre entre l'offre et la demande sur le marché interbancaire. Ainsi, une banque peut obtenir à ce taux de marché la liquidité bancaire auprès d'une autre banque qui en aurait en excès. Le taux de marché de référence dans la zone euro est appelé </w:t>
      </w:r>
      <w:proofErr w:type="spellStart"/>
      <w:r w:rsidRPr="00E22C25">
        <w:rPr>
          <w:w w:val="108"/>
          <w:sz w:val="20"/>
          <w:szCs w:val="20"/>
        </w:rPr>
        <w:t>Eonia</w:t>
      </w:r>
      <w:proofErr w:type="spellEnd"/>
      <w:r w:rsidRPr="00E22C25">
        <w:rPr>
          <w:w w:val="108"/>
          <w:sz w:val="20"/>
          <w:szCs w:val="20"/>
        </w:rPr>
        <w:t xml:space="preserve"> </w:t>
      </w:r>
      <w:r w:rsidRPr="00E22C25">
        <w:rPr>
          <w:i/>
          <w:iCs/>
          <w:w w:val="108"/>
          <w:sz w:val="20"/>
          <w:szCs w:val="20"/>
        </w:rPr>
        <w:t>(Euro Over</w:t>
      </w:r>
      <w:r w:rsidR="001655A8">
        <w:rPr>
          <w:i/>
          <w:iCs/>
          <w:w w:val="108"/>
          <w:sz w:val="20"/>
          <w:szCs w:val="20"/>
        </w:rPr>
        <w:t xml:space="preserve"> </w:t>
      </w:r>
      <w:r w:rsidRPr="00E22C25">
        <w:rPr>
          <w:i/>
          <w:iCs/>
          <w:w w:val="108"/>
          <w:sz w:val="20"/>
          <w:szCs w:val="20"/>
        </w:rPr>
        <w:t xml:space="preserve">Night Index </w:t>
      </w:r>
      <w:proofErr w:type="spellStart"/>
      <w:r w:rsidRPr="00E22C25">
        <w:rPr>
          <w:i/>
          <w:iCs/>
          <w:w w:val="108"/>
          <w:sz w:val="20"/>
          <w:szCs w:val="20"/>
        </w:rPr>
        <w:t>Average</w:t>
      </w:r>
      <w:proofErr w:type="spellEnd"/>
      <w:r w:rsidRPr="00E22C25">
        <w:rPr>
          <w:i/>
          <w:iCs/>
          <w:w w:val="108"/>
          <w:sz w:val="20"/>
          <w:szCs w:val="20"/>
        </w:rPr>
        <w:t xml:space="preserve">). </w:t>
      </w:r>
      <w:r w:rsidRPr="00E22C25">
        <w:rPr>
          <w:w w:val="108"/>
          <w:sz w:val="20"/>
          <w:szCs w:val="20"/>
        </w:rPr>
        <w:t>Il est égal à la moyenne pondérée des taux d'intérêt des prêts au</w:t>
      </w:r>
      <w:r w:rsidR="00D6241E">
        <w:rPr>
          <w:w w:val="108"/>
          <w:sz w:val="20"/>
          <w:szCs w:val="20"/>
        </w:rPr>
        <w:t xml:space="preserve"> </w:t>
      </w:r>
      <w:r w:rsidRPr="00E22C25">
        <w:rPr>
          <w:w w:val="108"/>
          <w:sz w:val="20"/>
          <w:szCs w:val="20"/>
        </w:rPr>
        <w:t xml:space="preserve">jour le jour réalisés par un panel de grandes banques. En situation normale, le taux de marché </w:t>
      </w:r>
      <w:proofErr w:type="spellStart"/>
      <w:r w:rsidRPr="00E22C25">
        <w:rPr>
          <w:w w:val="108"/>
          <w:sz w:val="20"/>
          <w:szCs w:val="20"/>
        </w:rPr>
        <w:t>Eonia</w:t>
      </w:r>
      <w:proofErr w:type="spellEnd"/>
      <w:r w:rsidRPr="00E22C25">
        <w:rPr>
          <w:w w:val="108"/>
          <w:sz w:val="20"/>
          <w:szCs w:val="20"/>
        </w:rPr>
        <w:t xml:space="preserve"> converge vers le taux directeur de refinancement par appel d'offres. En effet, comme la BCE fournit une grande pa</w:t>
      </w:r>
      <w:r w:rsidR="001655A8">
        <w:rPr>
          <w:w w:val="108"/>
          <w:sz w:val="20"/>
          <w:szCs w:val="20"/>
        </w:rPr>
        <w:t xml:space="preserve">rtie du refinancement au taux </w:t>
      </w:r>
      <w:r w:rsidRPr="00E22C25">
        <w:rPr>
          <w:w w:val="108"/>
          <w:sz w:val="20"/>
          <w:szCs w:val="20"/>
        </w:rPr>
        <w:t xml:space="preserve">d'appel d'offres, les banques n'accepteront pas de payer plus cher; celles d'entre elles qui ont trop de monnaie </w:t>
      </w:r>
      <w:r w:rsidRPr="00E22C25">
        <w:rPr>
          <w:w w:val="68"/>
          <w:sz w:val="20"/>
          <w:szCs w:val="20"/>
        </w:rPr>
        <w:t xml:space="preserve">« </w:t>
      </w:r>
      <w:r w:rsidRPr="00E22C25">
        <w:rPr>
          <w:w w:val="108"/>
          <w:sz w:val="20"/>
          <w:szCs w:val="20"/>
        </w:rPr>
        <w:t>banque centrale» préférero</w:t>
      </w:r>
      <w:r w:rsidR="001655A8">
        <w:rPr>
          <w:w w:val="108"/>
          <w:sz w:val="20"/>
          <w:szCs w:val="20"/>
        </w:rPr>
        <w:t>nt ce taux d'appel d'offres au t</w:t>
      </w:r>
      <w:r w:rsidRPr="00E22C25">
        <w:rPr>
          <w:w w:val="108"/>
          <w:sz w:val="20"/>
          <w:szCs w:val="20"/>
        </w:rPr>
        <w:t>aux de rémunération que la B</w:t>
      </w:r>
      <w:r w:rsidR="001655A8">
        <w:rPr>
          <w:w w:val="108"/>
          <w:sz w:val="20"/>
          <w:szCs w:val="20"/>
        </w:rPr>
        <w:t>CE propose au titre de la facilité</w:t>
      </w:r>
      <w:r w:rsidRPr="00E22C25">
        <w:rPr>
          <w:w w:val="108"/>
          <w:sz w:val="20"/>
          <w:szCs w:val="20"/>
        </w:rPr>
        <w:t xml:space="preserve"> de dépôt, car ce dernier est bien plus faible. Ainsi, la BCE peut contrôler l'</w:t>
      </w:r>
      <w:proofErr w:type="spellStart"/>
      <w:r w:rsidRPr="00E22C25">
        <w:rPr>
          <w:w w:val="108"/>
          <w:sz w:val="20"/>
          <w:szCs w:val="20"/>
        </w:rPr>
        <w:t>Eonia</w:t>
      </w:r>
      <w:proofErr w:type="spellEnd"/>
      <w:r w:rsidRPr="00E22C25">
        <w:rPr>
          <w:w w:val="108"/>
          <w:sz w:val="20"/>
          <w:szCs w:val="20"/>
        </w:rPr>
        <w:t>, normalement proche Ile son taux principal de refinancement et dans un corri</w:t>
      </w:r>
      <w:r w:rsidRPr="00E22C25">
        <w:rPr>
          <w:w w:val="108"/>
          <w:sz w:val="20"/>
          <w:szCs w:val="20"/>
        </w:rPr>
        <w:softHyphen/>
        <w:t>dor déterminé par ses deux autres taux directeurs (taux plafond pour la facilité de prêt et taux plancher pour la facilité de dépôt). Une banque n'est pas incitée à utiliser les facilités permanentes, puisque le taux d'intérêt appli</w:t>
      </w:r>
      <w:r w:rsidRPr="00E22C25">
        <w:rPr>
          <w:w w:val="108"/>
          <w:sz w:val="20"/>
          <w:szCs w:val="20"/>
        </w:rPr>
        <w:softHyphen/>
        <w:t xml:space="preserve">qué est dissuasif comparé aux taux du marché et d'appel d'offres. Ce serait le signal de difficultés pour une banque </w:t>
      </w:r>
      <w:r w:rsidRPr="00E22C25">
        <w:rPr>
          <w:i/>
          <w:iCs/>
          <w:w w:val="108"/>
          <w:sz w:val="20"/>
          <w:szCs w:val="20"/>
        </w:rPr>
        <w:t xml:space="preserve">(penalty rate </w:t>
      </w:r>
      <w:r w:rsidRPr="00E22C25">
        <w:rPr>
          <w:w w:val="108"/>
          <w:sz w:val="20"/>
          <w:szCs w:val="20"/>
        </w:rPr>
        <w:t xml:space="preserve">ou taux de pénalité). </w:t>
      </w:r>
    </w:p>
    <w:p w:rsidR="00893E5D" w:rsidRPr="00893E5D" w:rsidRDefault="00893E5D" w:rsidP="001655A8">
      <w:pPr>
        <w:pStyle w:val="Style"/>
        <w:spacing w:before="33"/>
        <w:ind w:right="96"/>
        <w:jc w:val="both"/>
        <w:rPr>
          <w:w w:val="108"/>
          <w:sz w:val="8"/>
          <w:szCs w:val="8"/>
        </w:rPr>
      </w:pPr>
    </w:p>
    <w:p w:rsidR="00893E5D" w:rsidRPr="00E22C25" w:rsidRDefault="00893E5D" w:rsidP="00893E5D">
      <w:pPr>
        <w:pStyle w:val="Style"/>
        <w:ind w:right="38"/>
        <w:jc w:val="both"/>
        <w:rPr>
          <w:w w:val="109"/>
          <w:sz w:val="20"/>
          <w:szCs w:val="20"/>
        </w:rPr>
      </w:pPr>
      <w:r>
        <w:rPr>
          <w:w w:val="109"/>
          <w:sz w:val="20"/>
          <w:szCs w:val="20"/>
        </w:rPr>
        <w:t>E. Le Héron</w:t>
      </w:r>
      <w:r w:rsidRPr="00E22C25">
        <w:rPr>
          <w:w w:val="109"/>
          <w:sz w:val="20"/>
          <w:szCs w:val="20"/>
        </w:rPr>
        <w:t xml:space="preserve">, </w:t>
      </w:r>
      <w:r w:rsidRPr="00E22C25">
        <w:rPr>
          <w:i/>
          <w:w w:val="109"/>
          <w:sz w:val="20"/>
          <w:szCs w:val="20"/>
        </w:rPr>
        <w:t>A quoi sert la Banque centrale européenne ?</w:t>
      </w:r>
      <w:r w:rsidRPr="00E22C25">
        <w:rPr>
          <w:w w:val="109"/>
          <w:sz w:val="20"/>
          <w:szCs w:val="20"/>
        </w:rPr>
        <w:t>, La documentation française 2016</w:t>
      </w:r>
    </w:p>
    <w:p w:rsidR="00937FFC" w:rsidRDefault="00937FFC" w:rsidP="004F29C7">
      <w:pPr>
        <w:spacing w:line="240" w:lineRule="auto"/>
        <w:jc w:val="both"/>
        <w:rPr>
          <w:rFonts w:ascii="Arial" w:hAnsi="Arial" w:cs="Arial"/>
          <w:sz w:val="20"/>
          <w:szCs w:val="20"/>
        </w:rPr>
      </w:pPr>
    </w:p>
    <w:p w:rsidR="00BD0ABF" w:rsidRDefault="00B6063A" w:rsidP="00893E5D">
      <w:pPr>
        <w:spacing w:line="240" w:lineRule="auto"/>
        <w:rPr>
          <w:rFonts w:ascii="Arial" w:hAnsi="Arial" w:cs="Arial"/>
          <w:sz w:val="20"/>
          <w:szCs w:val="20"/>
        </w:rPr>
      </w:pPr>
      <w:r w:rsidRPr="001655A8">
        <w:rPr>
          <w:rFonts w:ascii="Arial" w:hAnsi="Arial" w:cs="Arial"/>
          <w:b/>
          <w:sz w:val="20"/>
          <w:szCs w:val="20"/>
          <w:u w:val="single"/>
        </w:rPr>
        <w:lastRenderedPageBreak/>
        <w:t>Document </w:t>
      </w:r>
      <w:r w:rsidR="001655A8" w:rsidRPr="001655A8">
        <w:rPr>
          <w:rFonts w:ascii="Arial" w:hAnsi="Arial" w:cs="Arial"/>
          <w:b/>
          <w:sz w:val="20"/>
          <w:szCs w:val="20"/>
          <w:u w:val="single"/>
        </w:rPr>
        <w:t xml:space="preserve">17 </w:t>
      </w:r>
      <w:r w:rsidRPr="001655A8">
        <w:rPr>
          <w:rFonts w:ascii="Arial" w:hAnsi="Arial" w:cs="Arial"/>
          <w:b/>
          <w:sz w:val="20"/>
          <w:szCs w:val="20"/>
          <w:u w:val="single"/>
        </w:rPr>
        <w:t>: les taux directeurs de la BCE</w:t>
      </w:r>
    </w:p>
    <w:p w:rsidR="00B6063A" w:rsidRDefault="00D82D65" w:rsidP="001655A8">
      <w:pPr>
        <w:spacing w:line="240" w:lineRule="auto"/>
        <w:jc w:val="center"/>
        <w:rPr>
          <w:rFonts w:ascii="Arial" w:hAnsi="Arial" w:cs="Arial"/>
          <w:sz w:val="20"/>
          <w:szCs w:val="20"/>
        </w:rPr>
      </w:pPr>
      <w:r>
        <w:rPr>
          <w:noProof/>
          <w:lang w:eastAsia="fr-FR"/>
        </w:rPr>
        <w:drawing>
          <wp:inline distT="0" distB="0" distL="0" distR="0" wp14:anchorId="28D61F3F" wp14:editId="39797261">
            <wp:extent cx="5866248" cy="3705225"/>
            <wp:effectExtent l="0" t="0" r="127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4922"/>
                    <a:stretch/>
                  </pic:blipFill>
                  <pic:spPr bwMode="auto">
                    <a:xfrm>
                      <a:off x="0" y="0"/>
                      <a:ext cx="5879774" cy="3713768"/>
                    </a:xfrm>
                    <a:prstGeom prst="rect">
                      <a:avLst/>
                    </a:prstGeom>
                    <a:ln>
                      <a:noFill/>
                    </a:ln>
                    <a:extLst>
                      <a:ext uri="{53640926-AAD7-44D8-BBD7-CCE9431645EC}">
                        <a14:shadowObscured xmlns:a14="http://schemas.microsoft.com/office/drawing/2010/main"/>
                      </a:ext>
                    </a:extLst>
                  </pic:spPr>
                </pic:pic>
              </a:graphicData>
            </a:graphic>
          </wp:inline>
        </w:drawing>
      </w:r>
    </w:p>
    <w:p w:rsidR="00B71208" w:rsidRDefault="00B71208" w:rsidP="00B71208">
      <w:pPr>
        <w:spacing w:line="240" w:lineRule="auto"/>
        <w:jc w:val="right"/>
        <w:rPr>
          <w:rFonts w:ascii="Arial" w:hAnsi="Arial" w:cs="Arial"/>
          <w:sz w:val="20"/>
          <w:szCs w:val="20"/>
        </w:rPr>
      </w:pPr>
      <w:r>
        <w:rPr>
          <w:rFonts w:ascii="Arial" w:hAnsi="Arial" w:cs="Arial"/>
          <w:sz w:val="20"/>
          <w:szCs w:val="20"/>
        </w:rPr>
        <w:t>Source : www.banque-france.fr</w:t>
      </w:r>
    </w:p>
    <w:p w:rsidR="00D82D65" w:rsidRDefault="00D82D65" w:rsidP="004F29C7">
      <w:pPr>
        <w:spacing w:line="240" w:lineRule="auto"/>
        <w:jc w:val="both"/>
        <w:rPr>
          <w:rFonts w:ascii="Arial" w:hAnsi="Arial" w:cs="Arial"/>
          <w:b/>
          <w:sz w:val="20"/>
          <w:szCs w:val="20"/>
          <w:u w:val="single"/>
        </w:rPr>
      </w:pPr>
      <w:r>
        <w:rPr>
          <w:rFonts w:ascii="Arial" w:hAnsi="Arial" w:cs="Arial"/>
          <w:b/>
          <w:sz w:val="20"/>
          <w:szCs w:val="20"/>
          <w:u w:val="single"/>
        </w:rPr>
        <w:t>Document </w:t>
      </w:r>
      <w:r w:rsidR="001655A8">
        <w:rPr>
          <w:rFonts w:ascii="Arial" w:hAnsi="Arial" w:cs="Arial"/>
          <w:b/>
          <w:sz w:val="20"/>
          <w:szCs w:val="20"/>
          <w:u w:val="single"/>
        </w:rPr>
        <w:t xml:space="preserve">18 </w:t>
      </w:r>
      <w:r>
        <w:rPr>
          <w:rFonts w:ascii="Arial" w:hAnsi="Arial" w:cs="Arial"/>
          <w:b/>
          <w:sz w:val="20"/>
          <w:szCs w:val="20"/>
          <w:u w:val="single"/>
        </w:rPr>
        <w:t>: taux du marché interbancaire (EONIA) en %</w:t>
      </w:r>
    </w:p>
    <w:p w:rsidR="00D82D65" w:rsidRDefault="00961236" w:rsidP="004F29C7">
      <w:pPr>
        <w:spacing w:line="240" w:lineRule="auto"/>
        <w:jc w:val="both"/>
        <w:rPr>
          <w:rFonts w:ascii="Arial" w:hAnsi="Arial" w:cs="Arial"/>
          <w:b/>
          <w:sz w:val="20"/>
          <w:szCs w:val="20"/>
          <w:u w:val="single"/>
        </w:rPr>
      </w:pPr>
      <w:r>
        <w:rPr>
          <w:noProof/>
          <w:lang w:eastAsia="fr-FR"/>
        </w:rPr>
        <w:drawing>
          <wp:inline distT="0" distB="0" distL="0" distR="0" wp14:anchorId="3505C33D" wp14:editId="16748494">
            <wp:extent cx="5676900" cy="3105150"/>
            <wp:effectExtent l="0" t="0" r="19050" b="19050"/>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82D65" w:rsidRPr="00961236" w:rsidRDefault="00961236" w:rsidP="00893E5D">
      <w:pPr>
        <w:spacing w:line="240" w:lineRule="auto"/>
        <w:ind w:left="567"/>
        <w:jc w:val="right"/>
        <w:rPr>
          <w:rFonts w:ascii="Arial" w:hAnsi="Arial" w:cs="Arial"/>
          <w:sz w:val="20"/>
          <w:szCs w:val="20"/>
        </w:rPr>
      </w:pPr>
      <w:r w:rsidRPr="00961236">
        <w:rPr>
          <w:rFonts w:ascii="Arial" w:hAnsi="Arial" w:cs="Arial"/>
          <w:sz w:val="20"/>
          <w:szCs w:val="20"/>
        </w:rPr>
        <w:t>Source : www.banque-france.fr</w:t>
      </w:r>
    </w:p>
    <w:p w:rsidR="008F31C4" w:rsidRPr="004F29C7" w:rsidRDefault="008F31C4" w:rsidP="004F29C7">
      <w:pPr>
        <w:spacing w:line="240" w:lineRule="auto"/>
        <w:jc w:val="both"/>
        <w:rPr>
          <w:rFonts w:ascii="Arial" w:hAnsi="Arial" w:cs="Arial"/>
          <w:b/>
          <w:sz w:val="20"/>
          <w:szCs w:val="20"/>
          <w:u w:val="single"/>
        </w:rPr>
      </w:pPr>
      <w:r w:rsidRPr="004F29C7">
        <w:rPr>
          <w:rFonts w:ascii="Arial" w:hAnsi="Arial" w:cs="Arial"/>
          <w:b/>
          <w:sz w:val="20"/>
          <w:szCs w:val="20"/>
          <w:u w:val="single"/>
        </w:rPr>
        <w:t>Document </w:t>
      </w:r>
      <w:r w:rsidR="001655A8">
        <w:rPr>
          <w:rFonts w:ascii="Arial" w:hAnsi="Arial" w:cs="Arial"/>
          <w:b/>
          <w:sz w:val="20"/>
          <w:szCs w:val="20"/>
          <w:u w:val="single"/>
        </w:rPr>
        <w:t>19</w:t>
      </w:r>
      <w:r w:rsidR="004F29C7" w:rsidRPr="004F29C7">
        <w:rPr>
          <w:rFonts w:ascii="Arial" w:hAnsi="Arial" w:cs="Arial"/>
          <w:b/>
          <w:sz w:val="20"/>
          <w:szCs w:val="20"/>
          <w:u w:val="single"/>
        </w:rPr>
        <w:t xml:space="preserve"> </w:t>
      </w:r>
      <w:r w:rsidRPr="004F29C7">
        <w:rPr>
          <w:rFonts w:ascii="Arial" w:hAnsi="Arial" w:cs="Arial"/>
          <w:b/>
          <w:sz w:val="20"/>
          <w:szCs w:val="20"/>
          <w:u w:val="single"/>
        </w:rPr>
        <w:t>: les effets d’une baisse des taux directeurs</w:t>
      </w:r>
    </w:p>
    <w:p w:rsidR="008F31C4" w:rsidRPr="00E22C25" w:rsidRDefault="008F31C4" w:rsidP="004F29C7">
      <w:pPr>
        <w:spacing w:line="240" w:lineRule="auto"/>
        <w:jc w:val="both"/>
        <w:rPr>
          <w:rFonts w:ascii="Arial" w:hAnsi="Arial" w:cs="Arial"/>
          <w:sz w:val="20"/>
          <w:szCs w:val="20"/>
        </w:rPr>
      </w:pPr>
      <w:r w:rsidRPr="00E22C25">
        <w:rPr>
          <w:rFonts w:ascii="Arial" w:hAnsi="Arial" w:cs="Arial"/>
          <w:sz w:val="20"/>
          <w:szCs w:val="20"/>
        </w:rPr>
        <w:t>En temps normal, la banque centrale se contente d'agir sur le « prix » de l'argent pour influencer le cours de l'économie. C'est ce qu'elle fait en augmen</w:t>
      </w:r>
      <w:r w:rsidRPr="00E22C25">
        <w:rPr>
          <w:rFonts w:ascii="Arial" w:hAnsi="Arial" w:cs="Arial"/>
          <w:sz w:val="20"/>
          <w:szCs w:val="20"/>
        </w:rPr>
        <w:softHyphen/>
        <w:t>tant ou en abaissant ses taux directeurs (le « loyer » de l'argent). Plus le taux d'intérêt est élevé, moins un ménage ou une entreprise sera incité à s'endetter pour financer l'achat d'un bien ou un investissement. Au contraire, plus il est bas, plus l'endettement paraî</w:t>
      </w:r>
      <w:r w:rsidRPr="00E22C25">
        <w:rPr>
          <w:rFonts w:ascii="Arial" w:hAnsi="Arial" w:cs="Arial"/>
          <w:sz w:val="20"/>
          <w:szCs w:val="20"/>
        </w:rPr>
        <w:softHyphen/>
      </w:r>
      <w:r w:rsidR="00D6241E">
        <w:rPr>
          <w:rFonts w:ascii="Arial" w:hAnsi="Arial" w:cs="Arial"/>
          <w:sz w:val="20"/>
          <w:szCs w:val="20"/>
        </w:rPr>
        <w:t>t</w:t>
      </w:r>
      <w:r w:rsidRPr="00E22C25">
        <w:rPr>
          <w:rFonts w:ascii="Arial" w:hAnsi="Arial" w:cs="Arial"/>
          <w:sz w:val="20"/>
          <w:szCs w:val="20"/>
        </w:rPr>
        <w:t>ra la solution rêvée pour se lancer, surtout si les reve</w:t>
      </w:r>
      <w:r w:rsidRPr="00E22C25">
        <w:rPr>
          <w:rFonts w:ascii="Arial" w:hAnsi="Arial" w:cs="Arial"/>
          <w:sz w:val="20"/>
          <w:szCs w:val="20"/>
        </w:rPr>
        <w:softHyphen/>
        <w:t>nus ont tendance à stagner. En période de crise, la banque centrale abaisse donc ses taux directeurs, ce qui a pour effet de faire baisser à leur tour les taux d'intérêt sur le marché interbancaire, puis par conta</w:t>
      </w:r>
      <w:r w:rsidRPr="00E22C25">
        <w:rPr>
          <w:rFonts w:ascii="Arial" w:hAnsi="Arial" w:cs="Arial"/>
          <w:sz w:val="20"/>
          <w:szCs w:val="20"/>
        </w:rPr>
        <w:softHyphen/>
        <w:t>gion ceux auxquels les entreprises et les ménages pour</w:t>
      </w:r>
      <w:r w:rsidRPr="00E22C25">
        <w:rPr>
          <w:rFonts w:ascii="Arial" w:hAnsi="Arial" w:cs="Arial"/>
          <w:sz w:val="20"/>
          <w:szCs w:val="20"/>
        </w:rPr>
        <w:softHyphen/>
        <w:t xml:space="preserve">ront </w:t>
      </w:r>
      <w:r w:rsidRPr="00E22C25">
        <w:rPr>
          <w:rFonts w:ascii="Arial" w:hAnsi="Arial" w:cs="Arial"/>
          <w:sz w:val="20"/>
          <w:szCs w:val="20"/>
        </w:rPr>
        <w:lastRenderedPageBreak/>
        <w:t>emprunter auprès de leurs banquiers. Le crédit devient moins cher. Et lorsque le crédit est moins cher, les consommateurs sont incités à consommer, les entreprises à investir, ce qui favorise la relance de la croissance. Au passage, une baisse des taux d'in</w:t>
      </w:r>
      <w:r w:rsidRPr="00E22C25">
        <w:rPr>
          <w:rFonts w:ascii="Arial" w:hAnsi="Arial" w:cs="Arial"/>
          <w:sz w:val="20"/>
          <w:szCs w:val="20"/>
        </w:rPr>
        <w:softHyphen/>
        <w:t>térêt finit aussi par décourager les investisseurs de placer un argent qui ne rapporte (presque) plus rien: eux aussi sont donc incités à épargner moins et à investir davantage.</w:t>
      </w:r>
    </w:p>
    <w:p w:rsidR="008F31C4" w:rsidRPr="00E22C25" w:rsidRDefault="008F31C4" w:rsidP="00BF6032">
      <w:pPr>
        <w:spacing w:line="240" w:lineRule="auto"/>
        <w:ind w:left="567"/>
        <w:jc w:val="both"/>
        <w:rPr>
          <w:rFonts w:ascii="Arial" w:hAnsi="Arial" w:cs="Arial"/>
          <w:sz w:val="20"/>
          <w:szCs w:val="20"/>
        </w:rPr>
      </w:pPr>
      <w:r w:rsidRPr="00E22C25">
        <w:rPr>
          <w:rFonts w:ascii="Arial" w:hAnsi="Arial" w:cs="Arial"/>
          <w:sz w:val="20"/>
          <w:szCs w:val="20"/>
        </w:rPr>
        <w:t xml:space="preserve">P. Artus, M-P. </w:t>
      </w:r>
      <w:proofErr w:type="spellStart"/>
      <w:r w:rsidRPr="00E22C25">
        <w:rPr>
          <w:rFonts w:ascii="Arial" w:hAnsi="Arial" w:cs="Arial"/>
          <w:sz w:val="20"/>
          <w:szCs w:val="20"/>
        </w:rPr>
        <w:t>Virard</w:t>
      </w:r>
      <w:proofErr w:type="spellEnd"/>
      <w:r w:rsidRPr="00E22C25">
        <w:rPr>
          <w:rFonts w:ascii="Arial" w:hAnsi="Arial" w:cs="Arial"/>
          <w:sz w:val="20"/>
          <w:szCs w:val="20"/>
        </w:rPr>
        <w:t xml:space="preserve">, </w:t>
      </w:r>
      <w:r w:rsidRPr="00E22C25">
        <w:rPr>
          <w:rFonts w:ascii="Arial" w:hAnsi="Arial" w:cs="Arial"/>
          <w:i/>
          <w:sz w:val="20"/>
          <w:szCs w:val="20"/>
        </w:rPr>
        <w:t>La folie des banques centrales</w:t>
      </w:r>
      <w:r w:rsidRPr="00E22C25">
        <w:rPr>
          <w:rFonts w:ascii="Arial" w:hAnsi="Arial" w:cs="Arial"/>
          <w:sz w:val="20"/>
          <w:szCs w:val="20"/>
        </w:rPr>
        <w:t>, Fayard 2016</w:t>
      </w:r>
    </w:p>
    <w:p w:rsidR="00B71208" w:rsidRPr="00B71208" w:rsidRDefault="00B71208" w:rsidP="004F29C7">
      <w:pPr>
        <w:spacing w:line="240" w:lineRule="auto"/>
        <w:jc w:val="both"/>
        <w:rPr>
          <w:rFonts w:ascii="Arial" w:hAnsi="Arial" w:cs="Arial"/>
          <w:b/>
          <w:sz w:val="8"/>
          <w:szCs w:val="8"/>
        </w:rPr>
      </w:pPr>
    </w:p>
    <w:p w:rsidR="00B6063A" w:rsidRPr="00E91ECA" w:rsidRDefault="00B6063A" w:rsidP="004F29C7">
      <w:pPr>
        <w:spacing w:line="240" w:lineRule="auto"/>
        <w:jc w:val="both"/>
        <w:rPr>
          <w:rFonts w:ascii="Arial" w:hAnsi="Arial" w:cs="Arial"/>
          <w:b/>
          <w:sz w:val="20"/>
          <w:szCs w:val="20"/>
        </w:rPr>
      </w:pPr>
      <w:r w:rsidRPr="00E91ECA">
        <w:rPr>
          <w:rFonts w:ascii="Arial" w:hAnsi="Arial" w:cs="Arial"/>
          <w:b/>
          <w:sz w:val="20"/>
          <w:szCs w:val="20"/>
        </w:rPr>
        <w:t>Document</w:t>
      </w:r>
      <w:r w:rsidR="001655A8">
        <w:rPr>
          <w:rFonts w:ascii="Arial" w:hAnsi="Arial" w:cs="Arial"/>
          <w:b/>
          <w:sz w:val="20"/>
          <w:szCs w:val="20"/>
        </w:rPr>
        <w:t xml:space="preserve"> 20</w:t>
      </w:r>
      <w:r w:rsidRPr="00E91ECA">
        <w:rPr>
          <w:rFonts w:ascii="Arial" w:hAnsi="Arial" w:cs="Arial"/>
          <w:b/>
          <w:sz w:val="20"/>
          <w:szCs w:val="20"/>
        </w:rPr>
        <w:t> : l’endettement des ménages et des sociétés non-financières</w:t>
      </w:r>
    </w:p>
    <w:p w:rsidR="00B6063A" w:rsidRPr="00E22C25" w:rsidRDefault="00B6063A" w:rsidP="00B6063A">
      <w:pPr>
        <w:spacing w:line="240" w:lineRule="auto"/>
        <w:jc w:val="center"/>
        <w:rPr>
          <w:rFonts w:ascii="Arial" w:hAnsi="Arial" w:cs="Arial"/>
          <w:sz w:val="20"/>
          <w:szCs w:val="20"/>
        </w:rPr>
      </w:pPr>
      <w:r>
        <w:rPr>
          <w:noProof/>
          <w:lang w:eastAsia="fr-FR"/>
        </w:rPr>
        <w:drawing>
          <wp:inline distT="0" distB="0" distL="0" distR="0" wp14:anchorId="3B2036FB" wp14:editId="35E8B924">
            <wp:extent cx="5594350" cy="3598223"/>
            <wp:effectExtent l="0" t="0" r="635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7384" cy="3613038"/>
                    </a:xfrm>
                    <a:prstGeom prst="rect">
                      <a:avLst/>
                    </a:prstGeom>
                  </pic:spPr>
                </pic:pic>
              </a:graphicData>
            </a:graphic>
          </wp:inline>
        </w:drawing>
      </w:r>
    </w:p>
    <w:p w:rsidR="00BD0ABF" w:rsidRPr="00893E5D" w:rsidRDefault="00B6063A" w:rsidP="00893E5D">
      <w:pPr>
        <w:ind w:left="567"/>
        <w:jc w:val="right"/>
        <w:rPr>
          <w:rFonts w:ascii="Arial" w:hAnsi="Arial" w:cs="Arial"/>
          <w:sz w:val="20"/>
          <w:szCs w:val="20"/>
        </w:rPr>
      </w:pPr>
      <w:r w:rsidRPr="00B6063A">
        <w:rPr>
          <w:rFonts w:ascii="Arial" w:hAnsi="Arial" w:cs="Arial"/>
          <w:sz w:val="20"/>
          <w:szCs w:val="20"/>
        </w:rPr>
        <w:t>Source : www. banque-France.fr</w:t>
      </w:r>
    </w:p>
    <w:p w:rsidR="00BD0ABF" w:rsidRPr="00BD0ABF" w:rsidRDefault="00BD0ABF" w:rsidP="00BD0ABF">
      <w:pPr>
        <w:rPr>
          <w:rFonts w:ascii="Arial" w:hAnsi="Arial" w:cs="Arial"/>
          <w:b/>
          <w:sz w:val="20"/>
          <w:szCs w:val="20"/>
        </w:rPr>
      </w:pPr>
      <w:r w:rsidRPr="00BD0ABF">
        <w:rPr>
          <w:rFonts w:ascii="Arial" w:hAnsi="Arial" w:cs="Arial"/>
          <w:b/>
          <w:sz w:val="20"/>
          <w:szCs w:val="20"/>
        </w:rPr>
        <w:t>Document </w:t>
      </w:r>
      <w:r w:rsidR="001655A8">
        <w:rPr>
          <w:rFonts w:ascii="Arial" w:hAnsi="Arial" w:cs="Arial"/>
          <w:b/>
          <w:sz w:val="20"/>
          <w:szCs w:val="20"/>
        </w:rPr>
        <w:t xml:space="preserve">21 </w:t>
      </w:r>
      <w:r w:rsidRPr="00BD0ABF">
        <w:rPr>
          <w:rFonts w:ascii="Arial" w:hAnsi="Arial" w:cs="Arial"/>
          <w:b/>
          <w:sz w:val="20"/>
          <w:szCs w:val="20"/>
        </w:rPr>
        <w:t>: Crédits des établissements de crédit aux sociétés non financières (encours), en millions d’euros</w:t>
      </w:r>
    </w:p>
    <w:p w:rsidR="00BD0ABF" w:rsidRDefault="00BD0ABF" w:rsidP="00BD0ABF">
      <w:pPr>
        <w:jc w:val="center"/>
        <w:rPr>
          <w:rFonts w:ascii="Arial" w:hAnsi="Arial" w:cs="Arial"/>
          <w:sz w:val="20"/>
          <w:szCs w:val="20"/>
        </w:rPr>
      </w:pPr>
      <w:r>
        <w:rPr>
          <w:noProof/>
          <w:lang w:eastAsia="fr-FR"/>
        </w:rPr>
        <w:drawing>
          <wp:inline distT="0" distB="0" distL="0" distR="0" wp14:anchorId="0B0DF311" wp14:editId="31328202">
            <wp:extent cx="4781550" cy="3152775"/>
            <wp:effectExtent l="0" t="0" r="19050" b="9525"/>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D0ABF" w:rsidRPr="00BD0ABF" w:rsidRDefault="00BD0ABF" w:rsidP="00893E5D">
      <w:pPr>
        <w:ind w:left="567"/>
        <w:jc w:val="right"/>
        <w:rPr>
          <w:rFonts w:ascii="Arial" w:hAnsi="Arial" w:cs="Arial"/>
          <w:sz w:val="20"/>
          <w:szCs w:val="20"/>
        </w:rPr>
      </w:pPr>
      <w:r w:rsidRPr="00BD0ABF">
        <w:rPr>
          <w:rFonts w:ascii="Arial" w:hAnsi="Arial" w:cs="Arial"/>
          <w:sz w:val="20"/>
          <w:szCs w:val="20"/>
        </w:rPr>
        <w:lastRenderedPageBreak/>
        <w:t>Source : www.banque-france.fr</w:t>
      </w:r>
    </w:p>
    <w:p w:rsidR="00BD0ABF" w:rsidRDefault="00BD0ABF" w:rsidP="00BD0ABF">
      <w:pPr>
        <w:rPr>
          <w:rFonts w:ascii="Arial" w:hAnsi="Arial" w:cs="Arial"/>
          <w:b/>
          <w:sz w:val="20"/>
          <w:szCs w:val="20"/>
        </w:rPr>
      </w:pPr>
      <w:r w:rsidRPr="00E91ECA">
        <w:rPr>
          <w:rFonts w:ascii="Arial" w:hAnsi="Arial" w:cs="Arial"/>
          <w:b/>
          <w:sz w:val="20"/>
          <w:szCs w:val="20"/>
        </w:rPr>
        <w:t>Document</w:t>
      </w:r>
      <w:r w:rsidR="001655A8">
        <w:rPr>
          <w:rFonts w:ascii="Arial" w:hAnsi="Arial" w:cs="Arial"/>
          <w:b/>
          <w:sz w:val="20"/>
          <w:szCs w:val="20"/>
        </w:rPr>
        <w:t xml:space="preserve"> 22</w:t>
      </w:r>
      <w:r w:rsidRPr="00E91ECA">
        <w:rPr>
          <w:rFonts w:ascii="Arial" w:hAnsi="Arial" w:cs="Arial"/>
          <w:b/>
          <w:sz w:val="20"/>
          <w:szCs w:val="20"/>
        </w:rPr>
        <w:t xml:space="preserve"> : Coût du crédit aux entreprises, </w:t>
      </w:r>
      <w:r>
        <w:rPr>
          <w:rFonts w:ascii="Arial" w:hAnsi="Arial" w:cs="Arial"/>
          <w:b/>
          <w:sz w:val="20"/>
          <w:szCs w:val="20"/>
        </w:rPr>
        <w:t>crédits à moyen et long termes (en %)</w:t>
      </w:r>
    </w:p>
    <w:p w:rsidR="00BD0ABF" w:rsidRPr="00E91ECA" w:rsidRDefault="00BD0ABF" w:rsidP="00BD0ABF">
      <w:pPr>
        <w:jc w:val="center"/>
        <w:rPr>
          <w:rFonts w:ascii="Arial" w:hAnsi="Arial" w:cs="Arial"/>
          <w:b/>
          <w:sz w:val="20"/>
          <w:szCs w:val="20"/>
        </w:rPr>
      </w:pPr>
      <w:r>
        <w:rPr>
          <w:noProof/>
          <w:lang w:eastAsia="fr-FR"/>
        </w:rPr>
        <w:drawing>
          <wp:inline distT="0" distB="0" distL="0" distR="0" wp14:anchorId="6B63F6E4" wp14:editId="750376E5">
            <wp:extent cx="4867275" cy="2524125"/>
            <wp:effectExtent l="0" t="0" r="9525" b="9525"/>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D0ABF" w:rsidRPr="00BD0ABF" w:rsidRDefault="00BD0ABF" w:rsidP="00893E5D">
      <w:pPr>
        <w:ind w:left="567"/>
        <w:jc w:val="right"/>
        <w:rPr>
          <w:rFonts w:ascii="Arial" w:hAnsi="Arial" w:cs="Arial"/>
          <w:sz w:val="20"/>
          <w:szCs w:val="20"/>
        </w:rPr>
      </w:pPr>
      <w:r w:rsidRPr="00BD0ABF">
        <w:rPr>
          <w:rFonts w:ascii="Arial" w:hAnsi="Arial" w:cs="Arial"/>
          <w:sz w:val="20"/>
          <w:szCs w:val="20"/>
        </w:rPr>
        <w:t>Source : www.banque-france.fr</w:t>
      </w:r>
    </w:p>
    <w:p w:rsidR="00300839" w:rsidRPr="0003696B" w:rsidRDefault="00300839" w:rsidP="001655A8">
      <w:pPr>
        <w:rPr>
          <w:rFonts w:ascii="Arial" w:hAnsi="Arial" w:cs="Arial"/>
          <w:b/>
          <w:sz w:val="20"/>
          <w:szCs w:val="20"/>
          <w:u w:val="single"/>
        </w:rPr>
      </w:pPr>
      <w:r w:rsidRPr="0003696B">
        <w:rPr>
          <w:rFonts w:ascii="Arial" w:hAnsi="Arial" w:cs="Arial"/>
          <w:b/>
          <w:sz w:val="20"/>
          <w:szCs w:val="20"/>
          <w:u w:val="single"/>
        </w:rPr>
        <w:t>Document </w:t>
      </w:r>
      <w:r w:rsidR="001655A8">
        <w:rPr>
          <w:rFonts w:ascii="Arial" w:hAnsi="Arial" w:cs="Arial"/>
          <w:b/>
          <w:sz w:val="20"/>
          <w:szCs w:val="20"/>
          <w:u w:val="single"/>
        </w:rPr>
        <w:t>23</w:t>
      </w:r>
      <w:r w:rsidR="0003696B" w:rsidRPr="0003696B">
        <w:rPr>
          <w:rFonts w:ascii="Arial" w:hAnsi="Arial" w:cs="Arial"/>
          <w:b/>
          <w:sz w:val="20"/>
          <w:szCs w:val="20"/>
          <w:u w:val="single"/>
        </w:rPr>
        <w:t xml:space="preserve"> </w:t>
      </w:r>
      <w:r w:rsidRPr="0003696B">
        <w:rPr>
          <w:rFonts w:ascii="Arial" w:hAnsi="Arial" w:cs="Arial"/>
          <w:b/>
          <w:sz w:val="20"/>
          <w:szCs w:val="20"/>
          <w:u w:val="single"/>
        </w:rPr>
        <w:t>: les résultats de la politique monétaire en matière d’inflation</w:t>
      </w:r>
    </w:p>
    <w:p w:rsidR="00300839" w:rsidRDefault="00956977" w:rsidP="004F29C7">
      <w:pPr>
        <w:widowControl w:val="0"/>
        <w:autoSpaceDE w:val="0"/>
        <w:autoSpaceDN w:val="0"/>
        <w:adjustRightInd w:val="0"/>
        <w:spacing w:after="0" w:line="240" w:lineRule="auto"/>
        <w:ind w:right="4"/>
        <w:jc w:val="both"/>
        <w:rPr>
          <w:rFonts w:ascii="Arial" w:eastAsiaTheme="minorEastAsia" w:hAnsi="Arial" w:cs="Arial"/>
          <w:w w:val="108"/>
          <w:sz w:val="20"/>
          <w:szCs w:val="20"/>
          <w:lang w:eastAsia="fr-FR"/>
        </w:rPr>
      </w:pPr>
      <w:r w:rsidRPr="00E22C25">
        <w:rPr>
          <w:rFonts w:ascii="Arial" w:eastAsiaTheme="minorEastAsia" w:hAnsi="Arial" w:cs="Arial"/>
          <w:w w:val="108"/>
          <w:sz w:val="20"/>
          <w:szCs w:val="20"/>
          <w:lang w:eastAsia="fr-FR"/>
        </w:rPr>
        <w:t>La politique de lutte contre l'inflation menée depuis 1999 par la BCE a été couronnée de succès puisque l'objectif de 2 % a été respecté avec une inflation moyenne de 2,09 % sur la période (voir graphique, ci-dessous).L</w:t>
      </w:r>
      <w:r w:rsidR="00300839" w:rsidRPr="00E22C25">
        <w:rPr>
          <w:rFonts w:ascii="Arial" w:eastAsiaTheme="minorEastAsia" w:hAnsi="Arial" w:cs="Arial"/>
          <w:w w:val="108"/>
          <w:sz w:val="20"/>
          <w:szCs w:val="20"/>
          <w:lang w:eastAsia="fr-FR"/>
        </w:rPr>
        <w:t xml:space="preserve">e respect de cet objectif à moyen terme a permis des variations de court terme. Toutefois, la hausse du prix des matières premières, en particulier du pétrole, qui est passé </w:t>
      </w:r>
      <w:r w:rsidR="0067763D">
        <w:rPr>
          <w:rFonts w:ascii="Arial" w:eastAsiaTheme="minorEastAsia" w:hAnsi="Arial" w:cs="Arial"/>
          <w:noProof/>
          <w:w w:val="108"/>
          <w:sz w:val="20"/>
          <w:szCs w:val="20"/>
          <w:lang w:eastAsia="fr-FR"/>
        </w:rPr>
        <w:drawing>
          <wp:anchor distT="0" distB="0" distL="114300" distR="114300" simplePos="0" relativeHeight="251661312" behindDoc="1" locked="0" layoutInCell="1" allowOverlap="1" wp14:anchorId="7462653F" wp14:editId="7DD309E2">
            <wp:simplePos x="0" y="0"/>
            <wp:positionH relativeFrom="column">
              <wp:posOffset>2540</wp:posOffset>
            </wp:positionH>
            <wp:positionV relativeFrom="paragraph">
              <wp:posOffset>586105</wp:posOffset>
            </wp:positionV>
            <wp:extent cx="3383280" cy="1691640"/>
            <wp:effectExtent l="0" t="0" r="7620" b="3810"/>
            <wp:wrapThrough wrapText="bothSides">
              <wp:wrapPolygon edited="0">
                <wp:start x="0" y="0"/>
                <wp:lineTo x="0" y="21405"/>
                <wp:lineTo x="21527" y="21405"/>
                <wp:lineTo x="21527"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ation2.jpg"/>
                    <pic:cNvPicPr/>
                  </pic:nvPicPr>
                  <pic:blipFill>
                    <a:blip r:embed="rId25">
                      <a:extLst>
                        <a:ext uri="{28A0092B-C50C-407E-A947-70E740481C1C}">
                          <a14:useLocalDpi xmlns:a14="http://schemas.microsoft.com/office/drawing/2010/main" val="0"/>
                        </a:ext>
                      </a:extLst>
                    </a:blip>
                    <a:stretch>
                      <a:fillRect/>
                    </a:stretch>
                  </pic:blipFill>
                  <pic:spPr>
                    <a:xfrm>
                      <a:off x="0" y="0"/>
                      <a:ext cx="3383280" cy="1691640"/>
                    </a:xfrm>
                    <a:prstGeom prst="rect">
                      <a:avLst/>
                    </a:prstGeom>
                  </pic:spPr>
                </pic:pic>
              </a:graphicData>
            </a:graphic>
            <wp14:sizeRelH relativeFrom="page">
              <wp14:pctWidth>0</wp14:pctWidth>
            </wp14:sizeRelH>
            <wp14:sizeRelV relativeFrom="page">
              <wp14:pctHeight>0</wp14:pctHeight>
            </wp14:sizeRelV>
          </wp:anchor>
        </w:drawing>
      </w:r>
      <w:r w:rsidR="00300839" w:rsidRPr="00E22C25">
        <w:rPr>
          <w:rFonts w:ascii="Arial" w:eastAsiaTheme="minorEastAsia" w:hAnsi="Arial" w:cs="Arial"/>
          <w:w w:val="108"/>
          <w:sz w:val="20"/>
          <w:szCs w:val="20"/>
          <w:lang w:eastAsia="fr-FR"/>
        </w:rPr>
        <w:t xml:space="preserve">de 70 dollars le baril en août 2007 à 147 dollars en juillet 2008, a entraîné une accélération de l'inflation, passant de 2 à 4 </w:t>
      </w:r>
      <w:r w:rsidR="00300839" w:rsidRPr="00E22C25">
        <w:rPr>
          <w:rFonts w:ascii="Arial" w:eastAsiaTheme="minorEastAsia" w:hAnsi="Arial" w:cs="Arial"/>
          <w:w w:val="83"/>
          <w:sz w:val="20"/>
          <w:szCs w:val="20"/>
          <w:lang w:eastAsia="fr-FR"/>
        </w:rPr>
        <w:t xml:space="preserve">% </w:t>
      </w:r>
      <w:r w:rsidR="00300839" w:rsidRPr="00E22C25">
        <w:rPr>
          <w:rFonts w:ascii="Arial" w:eastAsiaTheme="minorEastAsia" w:hAnsi="Arial" w:cs="Arial"/>
          <w:w w:val="108"/>
          <w:sz w:val="20"/>
          <w:szCs w:val="20"/>
          <w:lang w:eastAsia="fr-FR"/>
        </w:rPr>
        <w:t>en un an, comme ce</w:t>
      </w:r>
      <w:r w:rsidR="00893E5D">
        <w:rPr>
          <w:rFonts w:ascii="Arial" w:eastAsiaTheme="minorEastAsia" w:hAnsi="Arial" w:cs="Arial"/>
          <w:w w:val="108"/>
          <w:sz w:val="20"/>
          <w:szCs w:val="20"/>
          <w:lang w:eastAsia="fr-FR"/>
        </w:rPr>
        <w:t>la avait été le cas dans les ann</w:t>
      </w:r>
      <w:r w:rsidR="00300839" w:rsidRPr="00E22C25">
        <w:rPr>
          <w:rFonts w:ascii="Arial" w:eastAsiaTheme="minorEastAsia" w:hAnsi="Arial" w:cs="Arial"/>
          <w:w w:val="108"/>
          <w:sz w:val="20"/>
          <w:szCs w:val="20"/>
          <w:lang w:eastAsia="fr-FR"/>
        </w:rPr>
        <w:t xml:space="preserve">ées 1970. En mettant fin à l'augmentation du prix du pétrole, la crise financière survenue en 2008 a été une alliée certaine dans le respect de l'objectif prioritaire de la BCE avant un court épisode de déflation en 2009. Le prix du baril de pétrole est redescendu à 40 dollars début 2009 pour remonter à 115 dollars mi-2014 avant de rechuter à 30 dollars fin 2015. L'ancrage des anticipations d'inflation n'est pas suffisant face à une forte hausse ou baisse des coûts de production; en effet, une variation du prix du pétrole sera intégrée mécaniquement dans les coûts de transports ou de l'industrie chimique et donc dans les prix, quelles que soient les anticipations d'inflation. Depuis septembre 2011, l'inflation n'a cessé de baisser passant de 3 </w:t>
      </w:r>
      <w:r w:rsidR="00300839" w:rsidRPr="00E22C25">
        <w:rPr>
          <w:rFonts w:ascii="Arial" w:eastAsiaTheme="minorEastAsia" w:hAnsi="Arial" w:cs="Arial"/>
          <w:w w:val="81"/>
          <w:sz w:val="20"/>
          <w:szCs w:val="20"/>
          <w:lang w:eastAsia="fr-FR"/>
        </w:rPr>
        <w:t xml:space="preserve">% </w:t>
      </w:r>
      <w:r w:rsidR="00300839" w:rsidRPr="00E22C25">
        <w:rPr>
          <w:rFonts w:ascii="Arial" w:eastAsiaTheme="minorEastAsia" w:hAnsi="Arial" w:cs="Arial"/>
          <w:w w:val="106"/>
          <w:sz w:val="20"/>
          <w:szCs w:val="20"/>
          <w:lang w:eastAsia="fr-FR"/>
        </w:rPr>
        <w:t xml:space="preserve">à - 0,2 </w:t>
      </w:r>
      <w:r w:rsidR="00300839" w:rsidRPr="00E22C25">
        <w:rPr>
          <w:rFonts w:ascii="Arial" w:eastAsiaTheme="minorEastAsia" w:hAnsi="Arial" w:cs="Arial"/>
          <w:w w:val="81"/>
          <w:sz w:val="20"/>
          <w:szCs w:val="20"/>
          <w:lang w:eastAsia="fr-FR"/>
        </w:rPr>
        <w:t xml:space="preserve">% </w:t>
      </w:r>
      <w:r w:rsidR="00300839" w:rsidRPr="00E22C25">
        <w:rPr>
          <w:rFonts w:ascii="Arial" w:eastAsiaTheme="minorEastAsia" w:hAnsi="Arial" w:cs="Arial"/>
          <w:w w:val="108"/>
          <w:sz w:val="20"/>
          <w:szCs w:val="20"/>
          <w:lang w:eastAsia="fr-FR"/>
        </w:rPr>
        <w:t xml:space="preserve">en février 2016, loin de la cible de 2 </w:t>
      </w:r>
      <w:r w:rsidR="00300839" w:rsidRPr="00E22C25">
        <w:rPr>
          <w:rFonts w:ascii="Arial" w:eastAsiaTheme="minorEastAsia" w:hAnsi="Arial" w:cs="Arial"/>
          <w:w w:val="81"/>
          <w:sz w:val="20"/>
          <w:szCs w:val="20"/>
          <w:lang w:eastAsia="fr-FR"/>
        </w:rPr>
        <w:t xml:space="preserve">%. </w:t>
      </w:r>
      <w:r w:rsidR="00300839" w:rsidRPr="00E22C25">
        <w:rPr>
          <w:rFonts w:ascii="Arial" w:eastAsiaTheme="minorEastAsia" w:hAnsi="Arial" w:cs="Arial"/>
          <w:w w:val="108"/>
          <w:sz w:val="20"/>
          <w:szCs w:val="20"/>
          <w:lang w:eastAsia="fr-FR"/>
        </w:rPr>
        <w:t>La BCE</w:t>
      </w:r>
      <w:r w:rsidR="00893E5D">
        <w:rPr>
          <w:rFonts w:ascii="Arial" w:eastAsiaTheme="minorEastAsia" w:hAnsi="Arial" w:cs="Arial"/>
          <w:w w:val="108"/>
          <w:sz w:val="20"/>
          <w:szCs w:val="20"/>
          <w:lang w:eastAsia="fr-FR"/>
        </w:rPr>
        <w:t xml:space="preserve"> </w:t>
      </w:r>
      <w:r w:rsidR="00300839" w:rsidRPr="00E22C25">
        <w:rPr>
          <w:rFonts w:ascii="Arial" w:eastAsiaTheme="minorEastAsia" w:hAnsi="Arial" w:cs="Arial"/>
          <w:w w:val="108"/>
          <w:sz w:val="20"/>
          <w:szCs w:val="20"/>
          <w:lang w:eastAsia="fr-FR"/>
        </w:rPr>
        <w:t>peine à la faire remonter dans un contexte d'insuf</w:t>
      </w:r>
      <w:r w:rsidR="00300839" w:rsidRPr="00E22C25">
        <w:rPr>
          <w:rFonts w:ascii="Arial" w:eastAsiaTheme="minorEastAsia" w:hAnsi="Arial" w:cs="Arial"/>
          <w:w w:val="108"/>
          <w:sz w:val="20"/>
          <w:szCs w:val="20"/>
          <w:lang w:eastAsia="fr-FR"/>
        </w:rPr>
        <w:softHyphen/>
        <w:t>fisance de la demande globale, de recherche généralisée de compétitivité et de faible prix des matières premières.</w:t>
      </w:r>
      <w:r w:rsidR="00BF6032" w:rsidRPr="00BF6032">
        <w:rPr>
          <w:rFonts w:ascii="Arial" w:hAnsi="Arial" w:cs="Arial"/>
          <w:noProof/>
          <w:sz w:val="20"/>
          <w:szCs w:val="20"/>
          <w:lang w:eastAsia="fr-FR"/>
        </w:rPr>
        <w:t xml:space="preserve"> </w:t>
      </w:r>
    </w:p>
    <w:p w:rsidR="00697A97" w:rsidRPr="00E22C25" w:rsidRDefault="00697A97" w:rsidP="004F29C7">
      <w:pPr>
        <w:widowControl w:val="0"/>
        <w:autoSpaceDE w:val="0"/>
        <w:autoSpaceDN w:val="0"/>
        <w:adjustRightInd w:val="0"/>
        <w:spacing w:after="0" w:line="240" w:lineRule="auto"/>
        <w:ind w:right="4"/>
        <w:jc w:val="both"/>
        <w:rPr>
          <w:rFonts w:ascii="Arial" w:eastAsiaTheme="minorEastAsia" w:hAnsi="Arial" w:cs="Arial"/>
          <w:w w:val="108"/>
          <w:sz w:val="20"/>
          <w:szCs w:val="20"/>
          <w:lang w:eastAsia="fr-FR"/>
        </w:rPr>
      </w:pPr>
    </w:p>
    <w:p w:rsidR="00956977" w:rsidRPr="00E22C25" w:rsidRDefault="001655A8" w:rsidP="0067763D">
      <w:pPr>
        <w:pStyle w:val="Style"/>
        <w:ind w:right="38"/>
        <w:jc w:val="both"/>
        <w:rPr>
          <w:w w:val="109"/>
          <w:sz w:val="20"/>
          <w:szCs w:val="20"/>
        </w:rPr>
      </w:pPr>
      <w:r>
        <w:rPr>
          <w:w w:val="109"/>
          <w:sz w:val="20"/>
          <w:szCs w:val="20"/>
        </w:rPr>
        <w:t>E. Le Héron</w:t>
      </w:r>
      <w:r w:rsidR="00956977" w:rsidRPr="00E22C25">
        <w:rPr>
          <w:w w:val="109"/>
          <w:sz w:val="20"/>
          <w:szCs w:val="20"/>
        </w:rPr>
        <w:t xml:space="preserve">, </w:t>
      </w:r>
      <w:r w:rsidR="00956977" w:rsidRPr="00E22C25">
        <w:rPr>
          <w:i/>
          <w:w w:val="109"/>
          <w:sz w:val="20"/>
          <w:szCs w:val="20"/>
        </w:rPr>
        <w:t>A quoi sert la Banque centrale européenne ?</w:t>
      </w:r>
      <w:r w:rsidR="00956977" w:rsidRPr="00E22C25">
        <w:rPr>
          <w:w w:val="109"/>
          <w:sz w:val="20"/>
          <w:szCs w:val="20"/>
        </w:rPr>
        <w:t>, La documentation française 2016</w:t>
      </w:r>
    </w:p>
    <w:p w:rsidR="00697A97" w:rsidRPr="00697A97" w:rsidRDefault="00697A97" w:rsidP="004F29C7">
      <w:pPr>
        <w:spacing w:line="240" w:lineRule="auto"/>
        <w:jc w:val="both"/>
        <w:rPr>
          <w:rFonts w:ascii="Arial" w:hAnsi="Arial" w:cs="Arial"/>
          <w:sz w:val="8"/>
          <w:szCs w:val="8"/>
        </w:rPr>
      </w:pPr>
    </w:p>
    <w:p w:rsidR="000D0301" w:rsidRPr="0003696B" w:rsidRDefault="000D0301" w:rsidP="004F29C7">
      <w:pPr>
        <w:spacing w:line="240" w:lineRule="auto"/>
        <w:jc w:val="both"/>
        <w:rPr>
          <w:rFonts w:ascii="Arial" w:hAnsi="Arial" w:cs="Arial"/>
          <w:b/>
          <w:sz w:val="20"/>
          <w:szCs w:val="20"/>
          <w:u w:val="single"/>
        </w:rPr>
      </w:pPr>
      <w:r w:rsidRPr="0003696B">
        <w:rPr>
          <w:rFonts w:ascii="Arial" w:hAnsi="Arial" w:cs="Arial"/>
          <w:b/>
          <w:sz w:val="20"/>
          <w:szCs w:val="20"/>
          <w:u w:val="single"/>
        </w:rPr>
        <w:t>Document</w:t>
      </w:r>
      <w:r w:rsidR="001655A8">
        <w:rPr>
          <w:rFonts w:ascii="Arial" w:hAnsi="Arial" w:cs="Arial"/>
          <w:b/>
          <w:sz w:val="20"/>
          <w:szCs w:val="20"/>
          <w:u w:val="single"/>
        </w:rPr>
        <w:t xml:space="preserve"> 24</w:t>
      </w:r>
      <w:r w:rsidRPr="0003696B">
        <w:rPr>
          <w:rFonts w:ascii="Arial" w:hAnsi="Arial" w:cs="Arial"/>
          <w:b/>
          <w:sz w:val="20"/>
          <w:szCs w:val="20"/>
          <w:u w:val="single"/>
        </w:rPr>
        <w:t> : de la politique monétaire expansionniste à l’</w:t>
      </w:r>
      <w:proofErr w:type="spellStart"/>
      <w:r w:rsidRPr="0003696B">
        <w:rPr>
          <w:rFonts w:ascii="Arial" w:hAnsi="Arial" w:cs="Arial"/>
          <w:b/>
          <w:sz w:val="20"/>
          <w:szCs w:val="20"/>
          <w:u w:val="single"/>
        </w:rPr>
        <w:t>hyperliquidité</w:t>
      </w:r>
      <w:proofErr w:type="spellEnd"/>
    </w:p>
    <w:p w:rsidR="000D0301" w:rsidRPr="00E22C25" w:rsidRDefault="000D0301" w:rsidP="004F29C7">
      <w:pPr>
        <w:spacing w:after="0" w:line="240" w:lineRule="auto"/>
        <w:jc w:val="both"/>
        <w:rPr>
          <w:rFonts w:ascii="Arial" w:hAnsi="Arial" w:cs="Arial"/>
          <w:sz w:val="20"/>
          <w:szCs w:val="20"/>
        </w:rPr>
      </w:pPr>
      <w:r w:rsidRPr="00E22C25">
        <w:rPr>
          <w:rFonts w:ascii="Arial" w:hAnsi="Arial" w:cs="Arial"/>
          <w:sz w:val="20"/>
          <w:szCs w:val="20"/>
        </w:rPr>
        <w:t>Depuis le début des années 2000 et surtout depuis la crise de 2008-2009, c'est peu dire que les politiques monétaires des pays de l'OCDE sont devenues expansionnistes: taux d'intérêt proches de zéro, augmentation vertigineuse de la liquidité (c'est-</w:t>
      </w:r>
      <w:r w:rsidRPr="00E22C25">
        <w:rPr>
          <w:rFonts w:ascii="Arial" w:hAnsi="Arial" w:cs="Arial"/>
          <w:sz w:val="20"/>
          <w:szCs w:val="20"/>
        </w:rPr>
        <w:softHyphen/>
        <w:t>à-dire de la monnaie créée par les banques centrales), primes de risque au plancher. Une politique moné</w:t>
      </w:r>
      <w:r w:rsidRPr="00E22C25">
        <w:rPr>
          <w:rFonts w:ascii="Arial" w:hAnsi="Arial" w:cs="Arial"/>
          <w:sz w:val="20"/>
          <w:szCs w:val="20"/>
        </w:rPr>
        <w:softHyphen/>
        <w:t>taire « expansionniste» (ou laxiste) a en effet pour objectif d'accroître la masse monétaire en circulation (grâce à la baisse du loyer de l'argent, à l'injection de liquidités), par opposition à une politique monétaire « restrictive» qui consiste à diminuer la masse moné</w:t>
      </w:r>
      <w:r w:rsidRPr="00E22C25">
        <w:rPr>
          <w:rFonts w:ascii="Arial" w:hAnsi="Arial" w:cs="Arial"/>
          <w:sz w:val="20"/>
          <w:szCs w:val="20"/>
        </w:rPr>
        <w:softHyphen/>
        <w:t xml:space="preserve">taire (en augmentant les taux d'intérêt) afin de lutter contre l'inflation. </w:t>
      </w:r>
    </w:p>
    <w:p w:rsidR="000D0301" w:rsidRPr="00E22C25" w:rsidRDefault="000D0301" w:rsidP="004F29C7">
      <w:pPr>
        <w:spacing w:after="0" w:line="240" w:lineRule="auto"/>
        <w:jc w:val="both"/>
        <w:rPr>
          <w:rFonts w:ascii="Arial" w:hAnsi="Arial" w:cs="Arial"/>
          <w:sz w:val="20"/>
          <w:szCs w:val="20"/>
        </w:rPr>
      </w:pPr>
      <w:r w:rsidRPr="00E22C25">
        <w:rPr>
          <w:rFonts w:ascii="Arial" w:hAnsi="Arial" w:cs="Arial"/>
          <w:sz w:val="20"/>
          <w:szCs w:val="20"/>
        </w:rPr>
        <w:t xml:space="preserve">Lors de la crise de liquidité bancaire de 2009, cette politique d'injection de liquidités avait évidemment un sens. Il fallait empêcher la catastrophe. Éviter un désastre encore plus grave que celui de 1929. C'est ainsi qu'une poignée de personnalités, des banquiers centraux pour être plus précis, à l'époque Ben </w:t>
      </w:r>
      <w:proofErr w:type="spellStart"/>
      <w:r w:rsidRPr="00E22C25">
        <w:rPr>
          <w:rFonts w:ascii="Arial" w:hAnsi="Arial" w:cs="Arial"/>
          <w:sz w:val="20"/>
          <w:szCs w:val="20"/>
        </w:rPr>
        <w:t>Bernanke</w:t>
      </w:r>
      <w:proofErr w:type="spellEnd"/>
      <w:r w:rsidRPr="00E22C25">
        <w:rPr>
          <w:rFonts w:ascii="Arial" w:hAnsi="Arial" w:cs="Arial"/>
          <w:sz w:val="20"/>
          <w:szCs w:val="20"/>
        </w:rPr>
        <w:t xml:space="preserve"> </w:t>
      </w:r>
      <w:r w:rsidRPr="00E22C25">
        <w:rPr>
          <w:rFonts w:ascii="Arial" w:hAnsi="Arial" w:cs="Arial"/>
          <w:sz w:val="20"/>
          <w:szCs w:val="20"/>
        </w:rPr>
        <w:lastRenderedPageBreak/>
        <w:t xml:space="preserve">(États-Unis), Jean-Claude Trichet (zone euro), Mervyn King (Royaume-Uni) et quelques autres, tous quasi inconnus du grand public, sont entrés dans la lumière et devenus, en quelques mois, les nouveaux maîtres du monde. Ils ont sauvé la planète finance, et </w:t>
      </w:r>
      <w:r w:rsidRPr="00E22C25">
        <w:rPr>
          <w:rFonts w:ascii="Arial" w:hAnsi="Arial" w:cs="Arial"/>
          <w:i/>
          <w:iCs/>
          <w:sz w:val="20"/>
          <w:szCs w:val="20"/>
        </w:rPr>
        <w:t xml:space="preserve">in fine </w:t>
      </w:r>
      <w:r w:rsidRPr="00E22C25">
        <w:rPr>
          <w:rFonts w:ascii="Arial" w:hAnsi="Arial" w:cs="Arial"/>
          <w:sz w:val="20"/>
          <w:szCs w:val="20"/>
        </w:rPr>
        <w:t xml:space="preserve">l'économie mondiale, en créant de la monnaie, en injectant des milliers de milliards de dollars ou d'euros dans les circuits. </w:t>
      </w:r>
    </w:p>
    <w:p w:rsidR="000D0301" w:rsidRPr="00E22C25" w:rsidRDefault="000D0301" w:rsidP="004F29C7">
      <w:pPr>
        <w:spacing w:after="0" w:line="240" w:lineRule="auto"/>
        <w:jc w:val="both"/>
        <w:rPr>
          <w:rFonts w:ascii="Arial" w:hAnsi="Arial" w:cs="Arial"/>
          <w:sz w:val="20"/>
          <w:szCs w:val="20"/>
        </w:rPr>
      </w:pPr>
      <w:r w:rsidRPr="00E22C25">
        <w:rPr>
          <w:rFonts w:ascii="Arial" w:hAnsi="Arial" w:cs="Arial"/>
          <w:sz w:val="20"/>
          <w:szCs w:val="20"/>
        </w:rPr>
        <w:t xml:space="preserve">Depuis 2010, de telles libéralités ne se justifient plus. Mais leurs successeurs, Janet </w:t>
      </w:r>
      <w:proofErr w:type="spellStart"/>
      <w:r w:rsidRPr="00E22C25">
        <w:rPr>
          <w:rFonts w:ascii="Arial" w:hAnsi="Arial" w:cs="Arial"/>
          <w:sz w:val="20"/>
          <w:szCs w:val="20"/>
        </w:rPr>
        <w:t>Yellen</w:t>
      </w:r>
      <w:proofErr w:type="spellEnd"/>
      <w:r w:rsidRPr="00E22C25">
        <w:rPr>
          <w:rFonts w:ascii="Arial" w:hAnsi="Arial" w:cs="Arial"/>
          <w:sz w:val="20"/>
          <w:szCs w:val="20"/>
        </w:rPr>
        <w:t xml:space="preserve"> (États-Unis), Mario </w:t>
      </w:r>
      <w:proofErr w:type="spellStart"/>
      <w:r w:rsidRPr="00E22C25">
        <w:rPr>
          <w:rFonts w:ascii="Arial" w:hAnsi="Arial" w:cs="Arial"/>
          <w:sz w:val="20"/>
          <w:szCs w:val="20"/>
        </w:rPr>
        <w:t>Draghi</w:t>
      </w:r>
      <w:proofErr w:type="spellEnd"/>
      <w:r w:rsidRPr="00E22C25">
        <w:rPr>
          <w:rFonts w:ascii="Arial" w:hAnsi="Arial" w:cs="Arial"/>
          <w:sz w:val="20"/>
          <w:szCs w:val="20"/>
        </w:rPr>
        <w:t xml:space="preserve"> (zone euro) et autres Mark </w:t>
      </w:r>
      <w:proofErr w:type="spellStart"/>
      <w:r w:rsidRPr="00E22C25">
        <w:rPr>
          <w:rFonts w:ascii="Arial" w:hAnsi="Arial" w:cs="Arial"/>
          <w:sz w:val="20"/>
          <w:szCs w:val="20"/>
        </w:rPr>
        <w:t>Carney</w:t>
      </w:r>
      <w:proofErr w:type="spellEnd"/>
      <w:r w:rsidRPr="00E22C25">
        <w:rPr>
          <w:rFonts w:ascii="Arial" w:hAnsi="Arial" w:cs="Arial"/>
          <w:sz w:val="20"/>
          <w:szCs w:val="20"/>
        </w:rPr>
        <w:t xml:space="preserve"> (Royaume-Uni), ont pourtant laissé les vannes grandes ouvertes, encouragés par l'absence d'infla</w:t>
      </w:r>
      <w:r w:rsidRPr="00E22C25">
        <w:rPr>
          <w:rFonts w:ascii="Arial" w:hAnsi="Arial" w:cs="Arial"/>
          <w:sz w:val="20"/>
          <w:szCs w:val="20"/>
        </w:rPr>
        <w:softHyphen/>
        <w:t>tion et dans l'espoir, toujours déçu, de faire repartir le crédit et la croissance. La liquidité mondiale, la monnaie créée par les banques centrales, représente aujourd'hui près de 30 % du PIB mondial, contre 6 % à la fin des années 1990. Mais la potion magique ne marche plus. Difficile en effet de relancer le crédit lorsque les économies sont aussi surendettées. Or, l'endettement mondial est désormais supérieur à celui de 1946 avec des</w:t>
      </w:r>
      <w:r w:rsidR="00697A97">
        <w:rPr>
          <w:rFonts w:ascii="Arial" w:hAnsi="Arial" w:cs="Arial"/>
          <w:sz w:val="20"/>
          <w:szCs w:val="20"/>
        </w:rPr>
        <w:t xml:space="preserve"> niveaux que l'on n'avait obser</w:t>
      </w:r>
      <w:r w:rsidRPr="00E22C25">
        <w:rPr>
          <w:rFonts w:ascii="Arial" w:hAnsi="Arial" w:cs="Arial"/>
          <w:sz w:val="20"/>
          <w:szCs w:val="20"/>
        </w:rPr>
        <w:t xml:space="preserve">vés jusque-là qu'après les guerres, et encore ... Après les guerres, l'inflation </w:t>
      </w:r>
      <w:r w:rsidR="00697A97">
        <w:rPr>
          <w:rFonts w:ascii="Arial" w:hAnsi="Arial" w:cs="Arial"/>
          <w:sz w:val="20"/>
          <w:szCs w:val="20"/>
        </w:rPr>
        <w:t>aussi était élevée, on se débar</w:t>
      </w:r>
      <w:r w:rsidRPr="00E22C25">
        <w:rPr>
          <w:rFonts w:ascii="Arial" w:hAnsi="Arial" w:cs="Arial"/>
          <w:sz w:val="20"/>
          <w:szCs w:val="20"/>
        </w:rPr>
        <w:t>rassait donc très vite de l'endettement rongé par la hausse des prix, ce qui n'est plus le cas actuellement. Or, l'endettement sans inflation compose une équa</w:t>
      </w:r>
      <w:r w:rsidRPr="00E22C25">
        <w:rPr>
          <w:rFonts w:ascii="Arial" w:hAnsi="Arial" w:cs="Arial"/>
          <w:sz w:val="20"/>
          <w:szCs w:val="20"/>
        </w:rPr>
        <w:softHyphen/>
        <w:t>tion tout simplement mortelle : la plupart des pays développés en font aujourd'hui la cruelle expérience. Du coup, pour espére</w:t>
      </w:r>
      <w:r w:rsidR="00697A97">
        <w:rPr>
          <w:rFonts w:ascii="Arial" w:hAnsi="Arial" w:cs="Arial"/>
          <w:sz w:val="20"/>
          <w:szCs w:val="20"/>
        </w:rPr>
        <w:t>r retrouver une certaine effica</w:t>
      </w:r>
      <w:r w:rsidRPr="00E22C25">
        <w:rPr>
          <w:rFonts w:ascii="Arial" w:hAnsi="Arial" w:cs="Arial"/>
          <w:sz w:val="20"/>
          <w:szCs w:val="20"/>
        </w:rPr>
        <w:t xml:space="preserve">cité, les politiques monétaires doivent être de plus en plus violentes. À chaque nouvel épisode, il faut augmenter la dose. </w:t>
      </w:r>
    </w:p>
    <w:p w:rsidR="000D0301" w:rsidRPr="00E22C25" w:rsidRDefault="000D0301" w:rsidP="004F29C7">
      <w:pPr>
        <w:spacing w:after="0" w:line="240" w:lineRule="auto"/>
        <w:jc w:val="both"/>
        <w:rPr>
          <w:rFonts w:ascii="Arial" w:hAnsi="Arial" w:cs="Arial"/>
          <w:sz w:val="20"/>
          <w:szCs w:val="20"/>
        </w:rPr>
      </w:pPr>
      <w:r w:rsidRPr="00E22C25">
        <w:rPr>
          <w:rFonts w:ascii="Arial" w:hAnsi="Arial" w:cs="Arial"/>
          <w:sz w:val="20"/>
          <w:szCs w:val="20"/>
        </w:rPr>
        <w:t>C'est la première fois dans l'histoire de l'économie moderne que tous les marchés financiers du monde sont à ce point, et en même temps, gavés de liquidités. Habitués à recevoir leur dose quotidienne d'argent frais, les opérateurs achètent et vendent compulsi</w:t>
      </w:r>
      <w:r w:rsidRPr="00E22C25">
        <w:rPr>
          <w:rFonts w:ascii="Arial" w:hAnsi="Arial" w:cs="Arial"/>
          <w:sz w:val="20"/>
          <w:szCs w:val="20"/>
        </w:rPr>
        <w:softHyphen/>
        <w:t>vement, sans autre considération que le profit à très court terme. Ils le font avec d'autant plus de légè</w:t>
      </w:r>
      <w:r w:rsidRPr="00E22C25">
        <w:rPr>
          <w:rFonts w:ascii="Arial" w:hAnsi="Arial" w:cs="Arial"/>
          <w:sz w:val="20"/>
          <w:szCs w:val="20"/>
        </w:rPr>
        <w:softHyphen/>
        <w:t xml:space="preserve">reté que, à Wall Street comme à la City ou ailleurs, plus de la moitié des </w:t>
      </w:r>
      <w:r w:rsidRPr="00E22C25">
        <w:rPr>
          <w:rFonts w:ascii="Arial" w:hAnsi="Arial" w:cs="Arial"/>
          <w:i/>
          <w:iCs/>
          <w:sz w:val="20"/>
          <w:szCs w:val="20"/>
        </w:rPr>
        <w:t xml:space="preserve">traders </w:t>
      </w:r>
      <w:r w:rsidRPr="00E22C25">
        <w:rPr>
          <w:rFonts w:ascii="Arial" w:hAnsi="Arial" w:cs="Arial"/>
          <w:sz w:val="20"/>
          <w:szCs w:val="20"/>
        </w:rPr>
        <w:t>n'ont jamais exercé leur</w:t>
      </w:r>
      <w:r w:rsidRPr="00E22C25">
        <w:rPr>
          <w:rFonts w:ascii="Arial" w:eastAsiaTheme="minorEastAsia" w:hAnsi="Arial" w:cs="Arial"/>
          <w:sz w:val="20"/>
          <w:szCs w:val="20"/>
          <w:lang w:eastAsia="fr-FR"/>
        </w:rPr>
        <w:t xml:space="preserve"> </w:t>
      </w:r>
      <w:r w:rsidRPr="00E22C25">
        <w:rPr>
          <w:rFonts w:ascii="Arial" w:hAnsi="Arial" w:cs="Arial"/>
          <w:sz w:val="20"/>
          <w:szCs w:val="20"/>
        </w:rPr>
        <w:t>métier autrement que dans l'univers féerique des taux zéro et de l'</w:t>
      </w:r>
      <w:proofErr w:type="spellStart"/>
      <w:r w:rsidRPr="00E22C25">
        <w:rPr>
          <w:rFonts w:ascii="Arial" w:hAnsi="Arial" w:cs="Arial"/>
          <w:sz w:val="20"/>
          <w:szCs w:val="20"/>
        </w:rPr>
        <w:t>hyperliquidité</w:t>
      </w:r>
      <w:proofErr w:type="spellEnd"/>
      <w:r w:rsidRPr="00E22C25">
        <w:rPr>
          <w:rFonts w:ascii="Arial" w:hAnsi="Arial" w:cs="Arial"/>
          <w:sz w:val="20"/>
          <w:szCs w:val="20"/>
        </w:rPr>
        <w:t>. Un univers où toute luci</w:t>
      </w:r>
      <w:r w:rsidRPr="00E22C25">
        <w:rPr>
          <w:rFonts w:ascii="Arial" w:hAnsi="Arial" w:cs="Arial"/>
          <w:sz w:val="20"/>
          <w:szCs w:val="20"/>
        </w:rPr>
        <w:softHyphen/>
        <w:t xml:space="preserve">dité semble anesthésiée par les montagnes de cash. Et tandis que l'écart de rendement entre les titres de bonne qualité et les titres de moins bonne qualité a tendance à se réduire comme peau de chagrin, le lien entre la valeur et le risque se fait de plus en plus ténu, comme si les </w:t>
      </w:r>
      <w:r w:rsidRPr="00E22C25">
        <w:rPr>
          <w:rFonts w:ascii="Arial" w:hAnsi="Arial" w:cs="Arial"/>
          <w:i/>
          <w:iCs/>
          <w:sz w:val="20"/>
          <w:szCs w:val="20"/>
        </w:rPr>
        <w:t xml:space="preserve">traders </w:t>
      </w:r>
      <w:r w:rsidRPr="00E22C25">
        <w:rPr>
          <w:rFonts w:ascii="Arial" w:hAnsi="Arial" w:cs="Arial"/>
          <w:sz w:val="20"/>
          <w:szCs w:val="20"/>
        </w:rPr>
        <w:t xml:space="preserve">s'étaient convaincus d'avoir, quoi qu'il arrive, souscrit une assurance tous risques auprès des banques centrales. </w:t>
      </w:r>
    </w:p>
    <w:p w:rsidR="000D0301" w:rsidRPr="00E22C25" w:rsidRDefault="000D0301" w:rsidP="004F29C7">
      <w:pPr>
        <w:spacing w:after="0" w:line="240" w:lineRule="auto"/>
        <w:jc w:val="both"/>
        <w:rPr>
          <w:rFonts w:ascii="Arial" w:hAnsi="Arial" w:cs="Arial"/>
          <w:sz w:val="20"/>
          <w:szCs w:val="20"/>
        </w:rPr>
      </w:pPr>
      <w:r w:rsidRPr="00E22C25">
        <w:rPr>
          <w:rFonts w:ascii="Arial" w:hAnsi="Arial" w:cs="Arial"/>
          <w:sz w:val="20"/>
          <w:szCs w:val="20"/>
        </w:rPr>
        <w:t>Rien d'étrange à cela, d'ailleurs, car celles-ci ont tout fait pour qu'ils le croient. Le flot de liquidités entretient l'anesthésie généralisée et nourrit l'am</w:t>
      </w:r>
      <w:r w:rsidRPr="00E22C25">
        <w:rPr>
          <w:rFonts w:ascii="Arial" w:hAnsi="Arial" w:cs="Arial"/>
          <w:sz w:val="20"/>
          <w:szCs w:val="20"/>
        </w:rPr>
        <w:softHyphen/>
        <w:t>pleur des mouvements que l'on observe sur les prix des actifs (actions, obligations, immobilier) comme sur les taux de change. Des mouvements largement déconnectés de la réalité économique qui, elle, est loin d'être aussi flamboyante. Les grands organismes internationaux - FMI, OCDE ... - n'en finissent plus de réviser leurs perspectives de croissance mondiale à la baisse. Mais qu'importe! À court terme, la sphère financière enterre la sphère économique dans un monde où l'on confond volontiers création moné</w:t>
      </w:r>
      <w:r w:rsidRPr="00E22C25">
        <w:rPr>
          <w:rFonts w:ascii="Arial" w:hAnsi="Arial" w:cs="Arial"/>
          <w:sz w:val="20"/>
          <w:szCs w:val="20"/>
        </w:rPr>
        <w:softHyphen/>
        <w:t xml:space="preserve">taire et création de richesses. La monnaie a fini d'être au service de l'économie réelle. </w:t>
      </w:r>
    </w:p>
    <w:p w:rsidR="00697A97" w:rsidRPr="00697A97" w:rsidRDefault="00697A97" w:rsidP="00B71208">
      <w:pPr>
        <w:spacing w:after="0" w:line="240" w:lineRule="auto"/>
        <w:ind w:left="567"/>
        <w:jc w:val="both"/>
        <w:rPr>
          <w:rFonts w:ascii="Arial" w:hAnsi="Arial" w:cs="Arial"/>
          <w:sz w:val="8"/>
          <w:szCs w:val="8"/>
        </w:rPr>
      </w:pPr>
    </w:p>
    <w:p w:rsidR="000D0301" w:rsidRPr="00E22C25" w:rsidRDefault="000D0301" w:rsidP="00B71208">
      <w:pPr>
        <w:spacing w:after="0" w:line="240" w:lineRule="auto"/>
        <w:ind w:left="567"/>
        <w:jc w:val="right"/>
        <w:rPr>
          <w:rFonts w:ascii="Arial" w:hAnsi="Arial" w:cs="Arial"/>
          <w:sz w:val="20"/>
          <w:szCs w:val="20"/>
        </w:rPr>
      </w:pPr>
      <w:r w:rsidRPr="00E22C25">
        <w:rPr>
          <w:rFonts w:ascii="Arial" w:hAnsi="Arial" w:cs="Arial"/>
          <w:sz w:val="20"/>
          <w:szCs w:val="20"/>
        </w:rPr>
        <w:t xml:space="preserve">P. Artus, M-P. </w:t>
      </w:r>
      <w:proofErr w:type="spellStart"/>
      <w:r w:rsidRPr="00E22C25">
        <w:rPr>
          <w:rFonts w:ascii="Arial" w:hAnsi="Arial" w:cs="Arial"/>
          <w:sz w:val="20"/>
          <w:szCs w:val="20"/>
        </w:rPr>
        <w:t>Virard</w:t>
      </w:r>
      <w:proofErr w:type="spellEnd"/>
      <w:r w:rsidRPr="00E22C25">
        <w:rPr>
          <w:rFonts w:ascii="Arial" w:hAnsi="Arial" w:cs="Arial"/>
          <w:sz w:val="20"/>
          <w:szCs w:val="20"/>
        </w:rPr>
        <w:t xml:space="preserve">, </w:t>
      </w:r>
      <w:r w:rsidRPr="00E22C25">
        <w:rPr>
          <w:rFonts w:ascii="Arial" w:hAnsi="Arial" w:cs="Arial"/>
          <w:i/>
          <w:sz w:val="20"/>
          <w:szCs w:val="20"/>
        </w:rPr>
        <w:t>La folie des banques centrales</w:t>
      </w:r>
      <w:r w:rsidRPr="00E22C25">
        <w:rPr>
          <w:rFonts w:ascii="Arial" w:hAnsi="Arial" w:cs="Arial"/>
          <w:sz w:val="20"/>
          <w:szCs w:val="20"/>
        </w:rPr>
        <w:t>, Fayard 2016</w:t>
      </w:r>
    </w:p>
    <w:p w:rsidR="0003696B" w:rsidRPr="00B71208" w:rsidRDefault="0003696B" w:rsidP="004F29C7">
      <w:pPr>
        <w:spacing w:line="240" w:lineRule="auto"/>
        <w:jc w:val="both"/>
        <w:rPr>
          <w:rFonts w:ascii="Arial" w:hAnsi="Arial" w:cs="Arial"/>
          <w:sz w:val="8"/>
          <w:szCs w:val="8"/>
        </w:rPr>
      </w:pPr>
    </w:p>
    <w:p w:rsidR="000D0301" w:rsidRPr="0003696B" w:rsidRDefault="000D0301" w:rsidP="004F29C7">
      <w:pPr>
        <w:spacing w:line="240" w:lineRule="auto"/>
        <w:jc w:val="both"/>
        <w:rPr>
          <w:rFonts w:ascii="Arial" w:hAnsi="Arial" w:cs="Arial"/>
          <w:b/>
          <w:sz w:val="20"/>
          <w:szCs w:val="20"/>
          <w:u w:val="single"/>
        </w:rPr>
      </w:pPr>
      <w:r w:rsidRPr="0003696B">
        <w:rPr>
          <w:rFonts w:ascii="Arial" w:hAnsi="Arial" w:cs="Arial"/>
          <w:b/>
          <w:sz w:val="20"/>
          <w:szCs w:val="20"/>
          <w:u w:val="single"/>
        </w:rPr>
        <w:t>Document </w:t>
      </w:r>
      <w:r w:rsidR="001655A8">
        <w:rPr>
          <w:rFonts w:ascii="Arial" w:hAnsi="Arial" w:cs="Arial"/>
          <w:b/>
          <w:sz w:val="20"/>
          <w:szCs w:val="20"/>
          <w:u w:val="single"/>
        </w:rPr>
        <w:t>25</w:t>
      </w:r>
      <w:r w:rsidR="0003696B" w:rsidRPr="0003696B">
        <w:rPr>
          <w:rFonts w:ascii="Arial" w:hAnsi="Arial" w:cs="Arial"/>
          <w:b/>
          <w:sz w:val="20"/>
          <w:szCs w:val="20"/>
          <w:u w:val="single"/>
        </w:rPr>
        <w:t xml:space="preserve"> </w:t>
      </w:r>
      <w:r w:rsidRPr="0003696B">
        <w:rPr>
          <w:rFonts w:ascii="Arial" w:hAnsi="Arial" w:cs="Arial"/>
          <w:b/>
          <w:sz w:val="20"/>
          <w:szCs w:val="20"/>
          <w:u w:val="single"/>
        </w:rPr>
        <w:t xml:space="preserve">: </w:t>
      </w:r>
      <w:r w:rsidR="0003696B">
        <w:rPr>
          <w:rFonts w:ascii="Arial" w:hAnsi="Arial" w:cs="Arial"/>
          <w:b/>
          <w:sz w:val="20"/>
          <w:szCs w:val="20"/>
          <w:u w:val="single"/>
        </w:rPr>
        <w:t xml:space="preserve">la </w:t>
      </w:r>
      <w:r w:rsidRPr="0003696B">
        <w:rPr>
          <w:rFonts w:ascii="Arial" w:hAnsi="Arial" w:cs="Arial"/>
          <w:b/>
          <w:sz w:val="20"/>
          <w:szCs w:val="20"/>
          <w:u w:val="single"/>
        </w:rPr>
        <w:t>disparition des primes de risque</w:t>
      </w:r>
    </w:p>
    <w:p w:rsidR="001E234E" w:rsidRPr="00E22C25" w:rsidRDefault="001E234E" w:rsidP="00B71208">
      <w:pPr>
        <w:spacing w:after="120" w:line="240" w:lineRule="auto"/>
        <w:jc w:val="both"/>
        <w:rPr>
          <w:rFonts w:ascii="Arial" w:hAnsi="Arial" w:cs="Arial"/>
          <w:sz w:val="20"/>
          <w:szCs w:val="20"/>
        </w:rPr>
      </w:pPr>
      <w:r w:rsidRPr="00E22C25">
        <w:rPr>
          <w:rFonts w:ascii="Arial" w:hAnsi="Arial" w:cs="Arial"/>
          <w:sz w:val="20"/>
          <w:szCs w:val="20"/>
        </w:rPr>
        <w:t>En revanche, le gendarme du système monétaire interna</w:t>
      </w:r>
      <w:r w:rsidRPr="00E22C25">
        <w:rPr>
          <w:rFonts w:ascii="Arial" w:hAnsi="Arial" w:cs="Arial"/>
          <w:sz w:val="20"/>
          <w:szCs w:val="20"/>
        </w:rPr>
        <w:softHyphen/>
        <w:t>tional, censé se préoccuper en priorité de ses anomalies de fonctionnement, ne pipait mot sur l'augmentation vertigineuse des flux de capitaux internationaux, sur les prémices d'une guerre des monnaies ou sur le risque qui n'est plus convenablement valorisé sur les marchés, alors qu'en Europe, par exemple, les primes de risque sur les dettes des entreprises publiques et des banques comme sur celles des pays dits périphériques (Espagne, Italie, Portugal) ont tout simplement disparu, avec à la clé le spectre d'une nouvelle crise financière. En effet, la prime de risque représente théoriquement le rendement supplémentaire censé rémunérer l'investis</w:t>
      </w:r>
      <w:r w:rsidRPr="00E22C25">
        <w:rPr>
          <w:rFonts w:ascii="Arial" w:hAnsi="Arial" w:cs="Arial"/>
          <w:sz w:val="20"/>
          <w:szCs w:val="20"/>
        </w:rPr>
        <w:softHyphen/>
        <w:t>seur pour sa prise de risque par rapport à celui qu'il aurait encaissé s'il avait investi dans l'actif sans risque par excellence (l'obligation d'État). Or, désormais, ces primes sur un certain nombre de dettes, notamment celles des pays dits périphériques de la zone euro, se sont évaporées, ce qui signifie que les investisseurs ont cessé d'être rémunérés en proportion du risque qu'ils prennent. […]</w:t>
      </w:r>
    </w:p>
    <w:p w:rsidR="001E234E" w:rsidRPr="00E22C25" w:rsidRDefault="001E234E" w:rsidP="00B71208">
      <w:pPr>
        <w:spacing w:after="120" w:line="240" w:lineRule="auto"/>
        <w:jc w:val="both"/>
        <w:rPr>
          <w:rFonts w:ascii="Arial" w:hAnsi="Arial" w:cs="Arial"/>
          <w:sz w:val="20"/>
          <w:szCs w:val="20"/>
        </w:rPr>
      </w:pPr>
      <w:r w:rsidRPr="00E22C25">
        <w:rPr>
          <w:rFonts w:ascii="Arial" w:hAnsi="Arial" w:cs="Arial"/>
          <w:sz w:val="20"/>
          <w:szCs w:val="20"/>
        </w:rPr>
        <w:t>Dans ce contexte de volatilité extrême, c'est moins le niveau des taux qui pose problème que la dispa</w:t>
      </w:r>
      <w:r w:rsidRPr="00E22C25">
        <w:rPr>
          <w:rFonts w:ascii="Arial" w:hAnsi="Arial" w:cs="Arial"/>
          <w:sz w:val="20"/>
          <w:szCs w:val="20"/>
        </w:rPr>
        <w:softHyphen/>
        <w:t>rition des primes de risque. Quand tous les inves</w:t>
      </w:r>
      <w:r w:rsidRPr="00E22C25">
        <w:rPr>
          <w:rFonts w:ascii="Arial" w:hAnsi="Arial" w:cs="Arial"/>
          <w:sz w:val="20"/>
          <w:szCs w:val="20"/>
        </w:rPr>
        <w:softHyphen/>
        <w:t>tisseurs achètent des actifs financiers risqués sans les primes associées, quelle que soit l'évolution de l'éco</w:t>
      </w:r>
      <w:r w:rsidRPr="00E22C25">
        <w:rPr>
          <w:rFonts w:ascii="Arial" w:hAnsi="Arial" w:cs="Arial"/>
          <w:sz w:val="20"/>
          <w:szCs w:val="20"/>
        </w:rPr>
        <w:softHyphen/>
        <w:t>nomie, c'est comme s'ils couraient directement, et collectivement, vers la falaise! Jean-Claude Trichet, président de la Banque centrale européenne (BCE) de 2003 à 2011, avait coutume d'affirmer que la mission des banques centrales est avant tout de véri</w:t>
      </w:r>
      <w:r w:rsidRPr="00E22C25">
        <w:rPr>
          <w:rFonts w:ascii="Arial" w:hAnsi="Arial" w:cs="Arial"/>
          <w:sz w:val="20"/>
          <w:szCs w:val="20"/>
        </w:rPr>
        <w:softHyphen/>
        <w:t>fier que le risque est valorisé correctement par les marchés. On en est loin. Ces folies sont en train de mettre l'économie mondiale à feu et à sang. En conti</w:t>
      </w:r>
      <w:r w:rsidRPr="00E22C25">
        <w:rPr>
          <w:rFonts w:ascii="Arial" w:hAnsi="Arial" w:cs="Arial"/>
          <w:sz w:val="20"/>
          <w:szCs w:val="20"/>
        </w:rPr>
        <w:softHyphen/>
        <w:t>nuant à inonder la planète de liquidités, les banquiers centraux jouent un jeu dangereux et l'issue pour</w:t>
      </w:r>
      <w:r w:rsidRPr="00E22C25">
        <w:rPr>
          <w:rFonts w:ascii="Arial" w:hAnsi="Arial" w:cs="Arial"/>
          <w:sz w:val="20"/>
          <w:szCs w:val="20"/>
        </w:rPr>
        <w:softHyphen/>
        <w:t>rait bien faire de la crise de 2007-2008 une aimable répétition avant un nouvel accident plus dévastateur encore.</w:t>
      </w:r>
    </w:p>
    <w:p w:rsidR="001E234E" w:rsidRPr="00E22C25" w:rsidRDefault="001E234E" w:rsidP="00B71208">
      <w:pPr>
        <w:spacing w:line="240" w:lineRule="auto"/>
        <w:ind w:left="567"/>
        <w:jc w:val="right"/>
        <w:rPr>
          <w:rFonts w:ascii="Arial" w:hAnsi="Arial" w:cs="Arial"/>
          <w:sz w:val="20"/>
          <w:szCs w:val="20"/>
        </w:rPr>
      </w:pPr>
      <w:r w:rsidRPr="00E22C25">
        <w:rPr>
          <w:rFonts w:ascii="Arial" w:hAnsi="Arial" w:cs="Arial"/>
          <w:sz w:val="20"/>
          <w:szCs w:val="20"/>
        </w:rPr>
        <w:t xml:space="preserve">P. Artus, M-P. </w:t>
      </w:r>
      <w:proofErr w:type="spellStart"/>
      <w:r w:rsidRPr="00E22C25">
        <w:rPr>
          <w:rFonts w:ascii="Arial" w:hAnsi="Arial" w:cs="Arial"/>
          <w:sz w:val="20"/>
          <w:szCs w:val="20"/>
        </w:rPr>
        <w:t>Virard</w:t>
      </w:r>
      <w:proofErr w:type="spellEnd"/>
      <w:r w:rsidRPr="00E22C25">
        <w:rPr>
          <w:rFonts w:ascii="Arial" w:hAnsi="Arial" w:cs="Arial"/>
          <w:sz w:val="20"/>
          <w:szCs w:val="20"/>
        </w:rPr>
        <w:t xml:space="preserve">, </w:t>
      </w:r>
      <w:r w:rsidRPr="00E22C25">
        <w:rPr>
          <w:rFonts w:ascii="Arial" w:hAnsi="Arial" w:cs="Arial"/>
          <w:i/>
          <w:sz w:val="20"/>
          <w:szCs w:val="20"/>
        </w:rPr>
        <w:t>La folie des banques centrales</w:t>
      </w:r>
      <w:r w:rsidRPr="00E22C25">
        <w:rPr>
          <w:rFonts w:ascii="Arial" w:hAnsi="Arial" w:cs="Arial"/>
          <w:sz w:val="20"/>
          <w:szCs w:val="20"/>
        </w:rPr>
        <w:t>, Fayard 2016</w:t>
      </w:r>
    </w:p>
    <w:p w:rsidR="0003696B" w:rsidRDefault="0003696B">
      <w:pPr>
        <w:rPr>
          <w:rFonts w:ascii="Arial" w:hAnsi="Arial" w:cs="Arial"/>
          <w:sz w:val="20"/>
          <w:szCs w:val="20"/>
        </w:rPr>
      </w:pPr>
    </w:p>
    <w:p w:rsidR="001E234E" w:rsidRPr="0003696B" w:rsidRDefault="008F31C4" w:rsidP="004F29C7">
      <w:pPr>
        <w:spacing w:line="240" w:lineRule="auto"/>
        <w:jc w:val="both"/>
        <w:rPr>
          <w:rFonts w:ascii="Arial" w:hAnsi="Arial" w:cs="Arial"/>
          <w:b/>
          <w:sz w:val="20"/>
          <w:szCs w:val="20"/>
          <w:u w:val="single"/>
        </w:rPr>
      </w:pPr>
      <w:r w:rsidRPr="0003696B">
        <w:rPr>
          <w:rFonts w:ascii="Arial" w:hAnsi="Arial" w:cs="Arial"/>
          <w:b/>
          <w:sz w:val="20"/>
          <w:szCs w:val="20"/>
          <w:u w:val="single"/>
        </w:rPr>
        <w:lastRenderedPageBreak/>
        <w:t>Document </w:t>
      </w:r>
      <w:r w:rsidR="001655A8">
        <w:rPr>
          <w:rFonts w:ascii="Arial" w:hAnsi="Arial" w:cs="Arial"/>
          <w:b/>
          <w:sz w:val="20"/>
          <w:szCs w:val="20"/>
          <w:u w:val="single"/>
        </w:rPr>
        <w:t>26</w:t>
      </w:r>
      <w:r w:rsidR="0003696B" w:rsidRPr="0003696B">
        <w:rPr>
          <w:rFonts w:ascii="Arial" w:hAnsi="Arial" w:cs="Arial"/>
          <w:b/>
          <w:sz w:val="20"/>
          <w:szCs w:val="20"/>
          <w:u w:val="single"/>
        </w:rPr>
        <w:t xml:space="preserve"> </w:t>
      </w:r>
      <w:r w:rsidRPr="0003696B">
        <w:rPr>
          <w:rFonts w:ascii="Arial" w:hAnsi="Arial" w:cs="Arial"/>
          <w:b/>
          <w:sz w:val="20"/>
          <w:szCs w:val="20"/>
          <w:u w:val="single"/>
        </w:rPr>
        <w:t>: l’inefficacité des politiques monétaires</w:t>
      </w:r>
    </w:p>
    <w:p w:rsidR="008F31C4" w:rsidRPr="00E22C25" w:rsidRDefault="008F31C4" w:rsidP="0003696B">
      <w:pPr>
        <w:spacing w:after="0" w:line="240" w:lineRule="auto"/>
        <w:jc w:val="both"/>
        <w:rPr>
          <w:rFonts w:ascii="Arial" w:hAnsi="Arial" w:cs="Arial"/>
          <w:sz w:val="20"/>
          <w:szCs w:val="20"/>
        </w:rPr>
      </w:pPr>
      <w:r w:rsidRPr="00E22C25">
        <w:rPr>
          <w:rFonts w:ascii="Arial" w:hAnsi="Arial" w:cs="Arial"/>
          <w:sz w:val="20"/>
          <w:szCs w:val="20"/>
        </w:rPr>
        <w:t>L'immense pouvoir dont jouissent les banquiers centraux est proportionnel aux espoirs que le monde met dorénavant en eux. On compte sur eux pour relancer la croissance, combattre la déflation, aider à résoudre l'endettement des États, conju</w:t>
      </w:r>
      <w:r w:rsidRPr="00E22C25">
        <w:rPr>
          <w:rFonts w:ascii="Arial" w:hAnsi="Arial" w:cs="Arial"/>
          <w:sz w:val="20"/>
          <w:szCs w:val="20"/>
        </w:rPr>
        <w:softHyphen/>
        <w:t>rer l'éclatement de l'euro, faire repartir l'investisse</w:t>
      </w:r>
      <w:r w:rsidRPr="00E22C25">
        <w:rPr>
          <w:rFonts w:ascii="Arial" w:hAnsi="Arial" w:cs="Arial"/>
          <w:sz w:val="20"/>
          <w:szCs w:val="20"/>
        </w:rPr>
        <w:softHyphen/>
        <w:t>ment, et bien d'autres choses encore ... On a fini par vouloir régler avec la monnaie tous les problèmes possibles et imaginables, et d'abord ceux de l'éco</w:t>
      </w:r>
      <w:r w:rsidRPr="00E22C25">
        <w:rPr>
          <w:rFonts w:ascii="Arial" w:hAnsi="Arial" w:cs="Arial"/>
          <w:sz w:val="20"/>
          <w:szCs w:val="20"/>
        </w:rPr>
        <w:softHyphen/>
        <w:t>nomie réelle. Or, le recours systématique à l'inon</w:t>
      </w:r>
      <w:r w:rsidRPr="00E22C25">
        <w:rPr>
          <w:rFonts w:ascii="Arial" w:hAnsi="Arial" w:cs="Arial"/>
          <w:sz w:val="20"/>
          <w:szCs w:val="20"/>
        </w:rPr>
        <w:softHyphen/>
        <w:t>dation monétaire dès qu'un déficit de croissance se Fait jour n'a aucun sens. Les politiques monétaires expansionnistes ne peuvent prétendre guérir l'insuf</w:t>
      </w:r>
      <w:r w:rsidRPr="00E22C25">
        <w:rPr>
          <w:rFonts w:ascii="Arial" w:hAnsi="Arial" w:cs="Arial"/>
          <w:sz w:val="20"/>
          <w:szCs w:val="20"/>
        </w:rPr>
        <w:softHyphen/>
        <w:t>fisance de croissance à laquelle nos pays sont désor</w:t>
      </w:r>
      <w:r w:rsidRPr="00E22C25">
        <w:rPr>
          <w:rFonts w:ascii="Arial" w:hAnsi="Arial" w:cs="Arial"/>
          <w:sz w:val="20"/>
          <w:szCs w:val="20"/>
        </w:rPr>
        <w:softHyphen/>
        <w:t>mais confrontés, car elle est due à des problèmes liés l l'économie réelle: faiblesse des gains de produc</w:t>
      </w:r>
      <w:r w:rsidRPr="00E22C25">
        <w:rPr>
          <w:rFonts w:ascii="Arial" w:hAnsi="Arial" w:cs="Arial"/>
          <w:sz w:val="20"/>
          <w:szCs w:val="20"/>
        </w:rPr>
        <w:softHyphen/>
        <w:t>tivité, démographie flageolante, insuffisance des investissements en nouvelles technologies, défauts de compétence de la population active, partage inef</w:t>
      </w:r>
      <w:r w:rsidRPr="00E22C25">
        <w:rPr>
          <w:rFonts w:ascii="Arial" w:hAnsi="Arial" w:cs="Arial"/>
          <w:sz w:val="20"/>
          <w:szCs w:val="20"/>
        </w:rPr>
        <w:softHyphen/>
        <w:t xml:space="preserve">ficace des revenus ... </w:t>
      </w:r>
    </w:p>
    <w:p w:rsidR="008F31C4" w:rsidRPr="00E22C25" w:rsidRDefault="008F31C4" w:rsidP="004F29C7">
      <w:pPr>
        <w:spacing w:line="240" w:lineRule="auto"/>
        <w:jc w:val="both"/>
        <w:rPr>
          <w:rFonts w:ascii="Arial" w:hAnsi="Arial" w:cs="Arial"/>
          <w:sz w:val="20"/>
          <w:szCs w:val="20"/>
        </w:rPr>
      </w:pPr>
      <w:r w:rsidRPr="00E22C25">
        <w:rPr>
          <w:rFonts w:ascii="Arial" w:hAnsi="Arial" w:cs="Arial"/>
          <w:sz w:val="20"/>
          <w:szCs w:val="20"/>
        </w:rPr>
        <w:t>Le résultat est là. Tout le monde pensait que la planète allait connaître une reprise économique durable grâce à la potion magique monétaire. On assiste au contraire à un ralentissement de la crois</w:t>
      </w:r>
      <w:r w:rsidRPr="00E22C25">
        <w:rPr>
          <w:rFonts w:ascii="Arial" w:hAnsi="Arial" w:cs="Arial"/>
          <w:sz w:val="20"/>
          <w:szCs w:val="20"/>
        </w:rPr>
        <w:softHyphen/>
        <w:t>sance mondiale. En 2015, elle a clôturé l'année sensi</w:t>
      </w:r>
      <w:r w:rsidRPr="00E22C25">
        <w:rPr>
          <w:rFonts w:ascii="Arial" w:hAnsi="Arial" w:cs="Arial"/>
          <w:sz w:val="20"/>
          <w:szCs w:val="20"/>
        </w:rPr>
        <w:softHyphen/>
        <w:t>blement au-dessous de son potentiel (3,1 % contre 3,7%). Et encore! Ce chiffre est calculé avec le taux de croissance « officielle » de la Chine (7 %) quand sa croissance réelle n'est probablement que de 3 %, ce qui signifie que la croissance mondiale n'a pas dépassé 2 %. La vérité est que l'économie mondiale est en récession, non cyclique</w:t>
      </w:r>
      <w:r w:rsidR="000C7E63">
        <w:rPr>
          <w:rFonts w:ascii="Arial" w:hAnsi="Arial" w:cs="Arial"/>
          <w:sz w:val="20"/>
          <w:szCs w:val="20"/>
        </w:rPr>
        <w:t>,</w:t>
      </w:r>
      <w:r w:rsidRPr="00E22C25">
        <w:rPr>
          <w:rFonts w:ascii="Arial" w:hAnsi="Arial" w:cs="Arial"/>
          <w:sz w:val="20"/>
          <w:szCs w:val="20"/>
        </w:rPr>
        <w:t xml:space="preserve"> mais structurelle, et que les velléités de faire de la politique monétaire le remède universel se fracassent sur le mur de l'éco</w:t>
      </w:r>
      <w:r w:rsidRPr="00E22C25">
        <w:rPr>
          <w:rFonts w:ascii="Arial" w:hAnsi="Arial" w:cs="Arial"/>
          <w:sz w:val="20"/>
          <w:szCs w:val="20"/>
        </w:rPr>
        <w:softHyphen/>
        <w:t>nomie réelle tout en s'accompagnant d'une prise de risque maximum pour la stabilité financière.</w:t>
      </w:r>
    </w:p>
    <w:p w:rsidR="008F31C4" w:rsidRPr="00E22C25" w:rsidRDefault="008F31C4" w:rsidP="00B71208">
      <w:pPr>
        <w:spacing w:line="240" w:lineRule="auto"/>
        <w:ind w:left="567"/>
        <w:jc w:val="right"/>
        <w:rPr>
          <w:rFonts w:ascii="Arial" w:hAnsi="Arial" w:cs="Arial"/>
          <w:sz w:val="20"/>
          <w:szCs w:val="20"/>
        </w:rPr>
      </w:pPr>
      <w:r w:rsidRPr="00E22C25">
        <w:rPr>
          <w:rFonts w:ascii="Arial" w:hAnsi="Arial" w:cs="Arial"/>
          <w:sz w:val="20"/>
          <w:szCs w:val="20"/>
        </w:rPr>
        <w:t xml:space="preserve">P. Artus, M-P. </w:t>
      </w:r>
      <w:proofErr w:type="spellStart"/>
      <w:r w:rsidRPr="00E22C25">
        <w:rPr>
          <w:rFonts w:ascii="Arial" w:hAnsi="Arial" w:cs="Arial"/>
          <w:sz w:val="20"/>
          <w:szCs w:val="20"/>
        </w:rPr>
        <w:t>Virard</w:t>
      </w:r>
      <w:proofErr w:type="spellEnd"/>
      <w:r w:rsidRPr="00E22C25">
        <w:rPr>
          <w:rFonts w:ascii="Arial" w:hAnsi="Arial" w:cs="Arial"/>
          <w:sz w:val="20"/>
          <w:szCs w:val="20"/>
        </w:rPr>
        <w:t xml:space="preserve">, </w:t>
      </w:r>
      <w:r w:rsidRPr="00E22C25">
        <w:rPr>
          <w:rFonts w:ascii="Arial" w:hAnsi="Arial" w:cs="Arial"/>
          <w:i/>
          <w:sz w:val="20"/>
          <w:szCs w:val="20"/>
        </w:rPr>
        <w:t>La folie des banques centrales</w:t>
      </w:r>
      <w:r w:rsidRPr="00E22C25">
        <w:rPr>
          <w:rFonts w:ascii="Arial" w:hAnsi="Arial" w:cs="Arial"/>
          <w:sz w:val="20"/>
          <w:szCs w:val="20"/>
        </w:rPr>
        <w:t>, Fayard 2016</w:t>
      </w:r>
    </w:p>
    <w:p w:rsidR="0003696B" w:rsidRDefault="0003696B" w:rsidP="004F29C7">
      <w:pPr>
        <w:spacing w:line="240" w:lineRule="auto"/>
        <w:jc w:val="both"/>
        <w:rPr>
          <w:rFonts w:ascii="Arial" w:hAnsi="Arial" w:cs="Arial"/>
          <w:sz w:val="20"/>
          <w:szCs w:val="20"/>
        </w:rPr>
      </w:pPr>
    </w:p>
    <w:p w:rsidR="008F31C4" w:rsidRPr="0003696B" w:rsidRDefault="00D24502" w:rsidP="004F29C7">
      <w:pPr>
        <w:spacing w:line="240" w:lineRule="auto"/>
        <w:jc w:val="both"/>
        <w:rPr>
          <w:rFonts w:ascii="Arial" w:hAnsi="Arial" w:cs="Arial"/>
          <w:b/>
          <w:sz w:val="20"/>
          <w:szCs w:val="20"/>
          <w:u w:val="single"/>
        </w:rPr>
      </w:pPr>
      <w:r w:rsidRPr="0003696B">
        <w:rPr>
          <w:rFonts w:ascii="Arial" w:hAnsi="Arial" w:cs="Arial"/>
          <w:b/>
          <w:sz w:val="20"/>
          <w:szCs w:val="20"/>
          <w:u w:val="single"/>
        </w:rPr>
        <w:t>Document </w:t>
      </w:r>
      <w:r w:rsidR="001655A8">
        <w:rPr>
          <w:rFonts w:ascii="Arial" w:hAnsi="Arial" w:cs="Arial"/>
          <w:b/>
          <w:sz w:val="20"/>
          <w:szCs w:val="20"/>
          <w:u w:val="single"/>
        </w:rPr>
        <w:t>27</w:t>
      </w:r>
      <w:r w:rsidR="0003696B" w:rsidRPr="0003696B">
        <w:rPr>
          <w:rFonts w:ascii="Arial" w:hAnsi="Arial" w:cs="Arial"/>
          <w:b/>
          <w:sz w:val="20"/>
          <w:szCs w:val="20"/>
          <w:u w:val="single"/>
        </w:rPr>
        <w:t xml:space="preserve"> </w:t>
      </w:r>
      <w:r w:rsidRPr="0003696B">
        <w:rPr>
          <w:rFonts w:ascii="Arial" w:hAnsi="Arial" w:cs="Arial"/>
          <w:b/>
          <w:sz w:val="20"/>
          <w:szCs w:val="20"/>
          <w:u w:val="single"/>
        </w:rPr>
        <w:t xml:space="preserve">: le principe du Quantitative </w:t>
      </w:r>
      <w:proofErr w:type="spellStart"/>
      <w:r w:rsidRPr="0003696B">
        <w:rPr>
          <w:rFonts w:ascii="Arial" w:hAnsi="Arial" w:cs="Arial"/>
          <w:b/>
          <w:sz w:val="20"/>
          <w:szCs w:val="20"/>
          <w:u w:val="single"/>
        </w:rPr>
        <w:t>Easing</w:t>
      </w:r>
      <w:proofErr w:type="spellEnd"/>
    </w:p>
    <w:p w:rsidR="00D24502" w:rsidRPr="00E22C25" w:rsidRDefault="00D24502" w:rsidP="0003696B">
      <w:pPr>
        <w:spacing w:after="0" w:line="240" w:lineRule="auto"/>
        <w:jc w:val="both"/>
        <w:rPr>
          <w:rFonts w:ascii="Arial" w:hAnsi="Arial" w:cs="Arial"/>
          <w:sz w:val="20"/>
          <w:szCs w:val="20"/>
        </w:rPr>
      </w:pPr>
      <w:r w:rsidRPr="00E22C25">
        <w:rPr>
          <w:rFonts w:ascii="Arial" w:hAnsi="Arial" w:cs="Arial"/>
          <w:sz w:val="20"/>
          <w:szCs w:val="20"/>
        </w:rPr>
        <w:t xml:space="preserve">À partir du début de l'année 2009, toutes les grandes banques centrales ont elles aussi laissé filer leurs taux vers un plus bas historique. Jusqu'à 0,05 % pour la </w:t>
      </w:r>
      <w:proofErr w:type="spellStart"/>
      <w:r w:rsidRPr="00E22C25">
        <w:rPr>
          <w:rFonts w:ascii="Arial" w:hAnsi="Arial" w:cs="Arial"/>
          <w:sz w:val="20"/>
          <w:szCs w:val="20"/>
        </w:rPr>
        <w:t>BeE</w:t>
      </w:r>
      <w:proofErr w:type="spellEnd"/>
      <w:r w:rsidRPr="00E22C25">
        <w:rPr>
          <w:rFonts w:ascii="Arial" w:hAnsi="Arial" w:cs="Arial"/>
          <w:sz w:val="20"/>
          <w:szCs w:val="20"/>
        </w:rPr>
        <w:t>, 0,5 % pour la Banque d'Angle</w:t>
      </w:r>
      <w:r w:rsidRPr="00E22C25">
        <w:rPr>
          <w:rFonts w:ascii="Arial" w:hAnsi="Arial" w:cs="Arial"/>
          <w:sz w:val="20"/>
          <w:szCs w:val="20"/>
        </w:rPr>
        <w:softHyphen/>
        <w:t xml:space="preserve">terre et 0,10 % pour la Banque du Japon. Et ce qui devait arriver arriva: une fois le plancher atteint, la politique monétaire dite classique, conventionnelle, a perdu l'essentiel de son efficacité. On dit alors que l'efficacité de la politique monétaire </w:t>
      </w:r>
      <w:r w:rsidRPr="00E22C25">
        <w:rPr>
          <w:rFonts w:ascii="Arial" w:hAnsi="Arial" w:cs="Arial"/>
          <w:i/>
          <w:iCs/>
          <w:sz w:val="20"/>
          <w:szCs w:val="20"/>
        </w:rPr>
        <w:t xml:space="preserve">via </w:t>
      </w:r>
      <w:r w:rsidRPr="00E22C25">
        <w:rPr>
          <w:rFonts w:ascii="Arial" w:hAnsi="Arial" w:cs="Arial"/>
          <w:sz w:val="20"/>
          <w:szCs w:val="20"/>
        </w:rPr>
        <w:t>le manie</w:t>
      </w:r>
      <w:r w:rsidRPr="00E22C25">
        <w:rPr>
          <w:rFonts w:ascii="Arial" w:hAnsi="Arial" w:cs="Arial"/>
          <w:sz w:val="20"/>
          <w:szCs w:val="20"/>
        </w:rPr>
        <w:softHyphen/>
        <w:t>ment du taux d'intérêt se heurte au phénomène de la « trappe à liquidité », théorisé</w:t>
      </w:r>
      <w:r w:rsidR="00D6241E">
        <w:rPr>
          <w:rFonts w:ascii="Arial" w:hAnsi="Arial" w:cs="Arial"/>
          <w:sz w:val="20"/>
          <w:szCs w:val="20"/>
        </w:rPr>
        <w:t>e</w:t>
      </w:r>
      <w:r w:rsidRPr="00E22C25">
        <w:rPr>
          <w:rFonts w:ascii="Arial" w:hAnsi="Arial" w:cs="Arial"/>
          <w:sz w:val="20"/>
          <w:szCs w:val="20"/>
        </w:rPr>
        <w:t xml:space="preserve"> par Keynes dès les années 1930 : recevant des liquidités, les agents économiques les stérilisent plutôt que de les investir </w:t>
      </w:r>
      <w:proofErr w:type="spellStart"/>
      <w:r w:rsidRPr="00E22C25">
        <w:rPr>
          <w:rFonts w:ascii="Arial" w:hAnsi="Arial" w:cs="Arial"/>
          <w:i/>
          <w:iCs/>
          <w:sz w:val="20"/>
          <w:szCs w:val="20"/>
        </w:rPr>
        <w:t>etlou</w:t>
      </w:r>
      <w:proofErr w:type="spellEnd"/>
      <w:r w:rsidRPr="00E22C25">
        <w:rPr>
          <w:rFonts w:ascii="Arial" w:hAnsi="Arial" w:cs="Arial"/>
          <w:i/>
          <w:iCs/>
          <w:sz w:val="20"/>
          <w:szCs w:val="20"/>
        </w:rPr>
        <w:t xml:space="preserve"> </w:t>
      </w:r>
      <w:r w:rsidRPr="00E22C25">
        <w:rPr>
          <w:rFonts w:ascii="Arial" w:hAnsi="Arial" w:cs="Arial"/>
          <w:sz w:val="20"/>
          <w:szCs w:val="20"/>
        </w:rPr>
        <w:t>de les dépenser. […]</w:t>
      </w:r>
    </w:p>
    <w:p w:rsidR="00D24502" w:rsidRPr="00E22C25" w:rsidRDefault="00D24502" w:rsidP="0003696B">
      <w:pPr>
        <w:spacing w:after="0" w:line="240" w:lineRule="auto"/>
        <w:jc w:val="both"/>
        <w:rPr>
          <w:rFonts w:ascii="Arial" w:hAnsi="Arial" w:cs="Arial"/>
          <w:sz w:val="20"/>
          <w:szCs w:val="20"/>
        </w:rPr>
      </w:pPr>
      <w:r w:rsidRPr="00E22C25">
        <w:rPr>
          <w:rFonts w:ascii="Arial" w:hAnsi="Arial" w:cs="Arial"/>
          <w:sz w:val="20"/>
          <w:szCs w:val="20"/>
        </w:rPr>
        <w:t xml:space="preserve">D'où la nécessité pour les banques centrales de se donner d'autres moyens d'agir, et d'agir en particulier sur la quantité de monnaie en circulation plutôt que sur son prix. </w:t>
      </w:r>
    </w:p>
    <w:p w:rsidR="00D24502" w:rsidRPr="00E22C25" w:rsidRDefault="00D24502" w:rsidP="0003696B">
      <w:pPr>
        <w:spacing w:after="0" w:line="240" w:lineRule="auto"/>
        <w:jc w:val="both"/>
        <w:rPr>
          <w:rFonts w:ascii="Arial" w:hAnsi="Arial" w:cs="Arial"/>
          <w:sz w:val="20"/>
          <w:szCs w:val="20"/>
        </w:rPr>
      </w:pPr>
      <w:r w:rsidRPr="00E22C25">
        <w:rPr>
          <w:rFonts w:ascii="Arial" w:hAnsi="Arial" w:cs="Arial"/>
          <w:sz w:val="20"/>
          <w:szCs w:val="20"/>
        </w:rPr>
        <w:t xml:space="preserve">Cette nouvelle politique monétaire va se confondre avec une expression tout à fait inconnue du grand public jusqu'à une période récente: le </w:t>
      </w:r>
      <w:r w:rsidRPr="00E22C25">
        <w:rPr>
          <w:rFonts w:ascii="Arial" w:hAnsi="Arial" w:cs="Arial"/>
          <w:i/>
          <w:iCs/>
          <w:sz w:val="20"/>
          <w:szCs w:val="20"/>
        </w:rPr>
        <w:t xml:space="preserve">Quantitative </w:t>
      </w:r>
      <w:proofErr w:type="spellStart"/>
      <w:r w:rsidRPr="00E22C25">
        <w:rPr>
          <w:rFonts w:ascii="Arial" w:hAnsi="Arial" w:cs="Arial"/>
          <w:i/>
          <w:iCs/>
          <w:sz w:val="20"/>
          <w:szCs w:val="20"/>
        </w:rPr>
        <w:t>Easing</w:t>
      </w:r>
      <w:proofErr w:type="spellEnd"/>
      <w:r w:rsidRPr="00E22C25">
        <w:rPr>
          <w:rFonts w:ascii="Arial" w:hAnsi="Arial" w:cs="Arial"/>
          <w:i/>
          <w:iCs/>
          <w:sz w:val="20"/>
          <w:szCs w:val="20"/>
        </w:rPr>
        <w:t xml:space="preserve"> </w:t>
      </w:r>
      <w:r w:rsidRPr="00E22C25">
        <w:rPr>
          <w:rFonts w:ascii="Arial" w:hAnsi="Arial" w:cs="Arial"/>
          <w:sz w:val="20"/>
          <w:szCs w:val="20"/>
        </w:rPr>
        <w:t>(ou assouplissement quantitatif, en fran</w:t>
      </w:r>
      <w:r w:rsidRPr="00E22C25">
        <w:rPr>
          <w:rFonts w:ascii="Arial" w:hAnsi="Arial" w:cs="Arial"/>
          <w:sz w:val="20"/>
          <w:szCs w:val="20"/>
        </w:rPr>
        <w:softHyphen/>
        <w:t xml:space="preserve">çais dans le texte). Une formule </w:t>
      </w:r>
      <w:r w:rsidRPr="00E22C25">
        <w:rPr>
          <w:rFonts w:ascii="Arial" w:hAnsi="Arial" w:cs="Arial"/>
          <w:i/>
          <w:iCs/>
          <w:sz w:val="20"/>
          <w:szCs w:val="20"/>
        </w:rPr>
        <w:t xml:space="preserve">a priori </w:t>
      </w:r>
      <w:r w:rsidRPr="00E22C25">
        <w:rPr>
          <w:rFonts w:ascii="Arial" w:hAnsi="Arial" w:cs="Arial"/>
          <w:sz w:val="20"/>
          <w:szCs w:val="20"/>
        </w:rPr>
        <w:t>bien mysté</w:t>
      </w:r>
      <w:r w:rsidRPr="00E22C25">
        <w:rPr>
          <w:rFonts w:ascii="Arial" w:hAnsi="Arial" w:cs="Arial"/>
          <w:sz w:val="20"/>
          <w:szCs w:val="20"/>
        </w:rPr>
        <w:softHyphen/>
        <w:t>rieuse quoiqu'il s'agisse, on l'a dit, d'un mécanisme assez simple : la banque centrale se débrouille pour augmenter la quantité de monnaie en circulation dans le circuit économique en achetant elle-même des actifs sur le marché financier. On dit que la banque centrale fait « tourner la planche à billets », ce qui évidemment est une métaphore : le progrès aidant, il n'y a plus ni planche ni billets, juste un jeu d'écriture. Pour accroître la masse monétaire, nul besoin d'imprimer des billets: la méthode moderne consiste à racheter de la dette, autrement dit des obli</w:t>
      </w:r>
      <w:r w:rsidRPr="00E22C25">
        <w:rPr>
          <w:rFonts w:ascii="Arial" w:hAnsi="Arial" w:cs="Arial"/>
          <w:sz w:val="20"/>
          <w:szCs w:val="20"/>
        </w:rPr>
        <w:softHyphen/>
        <w:t xml:space="preserve">gations, publique ou privée; le plus souvent de la dette publique (les emprunts émis par l'État) auprès des banques, des compagnies d'assurance et autres fonds d'investissement. En rachetant des obligations, la banque centrale paie les vendeurs en créant de la monnaie et met ainsi de l'argent en circulation : les établissements financiers obtiennent du cash qu'ils peuvent réinvestir dans l'économie, puisque le placer n'est guère rentable. </w:t>
      </w:r>
    </w:p>
    <w:p w:rsidR="00D24502" w:rsidRPr="00E22C25" w:rsidRDefault="00D24502" w:rsidP="0003696B">
      <w:pPr>
        <w:spacing w:after="0" w:line="240" w:lineRule="auto"/>
        <w:jc w:val="both"/>
        <w:rPr>
          <w:rFonts w:ascii="Arial" w:hAnsi="Arial" w:cs="Arial"/>
          <w:sz w:val="20"/>
          <w:szCs w:val="20"/>
        </w:rPr>
      </w:pPr>
      <w:r w:rsidRPr="00E22C25">
        <w:rPr>
          <w:rFonts w:ascii="Arial" w:hAnsi="Arial" w:cs="Arial"/>
          <w:sz w:val="20"/>
          <w:szCs w:val="20"/>
        </w:rPr>
        <w:t xml:space="preserve">Schématiquement, le </w:t>
      </w:r>
      <w:r w:rsidRPr="00E22C25">
        <w:rPr>
          <w:rFonts w:ascii="Arial" w:hAnsi="Arial" w:cs="Arial"/>
          <w:i/>
          <w:iCs/>
          <w:sz w:val="20"/>
          <w:szCs w:val="20"/>
        </w:rPr>
        <w:t xml:space="preserve">QE </w:t>
      </w:r>
      <w:r w:rsidRPr="00E22C25">
        <w:rPr>
          <w:rFonts w:ascii="Arial" w:hAnsi="Arial" w:cs="Arial"/>
          <w:sz w:val="20"/>
          <w:szCs w:val="20"/>
        </w:rPr>
        <w:t>fonctionne de la manière suivante. La banque centrale « crée » de la monnaie en créditant les lignes de dépôt des institutions finan</w:t>
      </w:r>
      <w:r w:rsidRPr="00E22C25">
        <w:rPr>
          <w:rFonts w:ascii="Arial" w:hAnsi="Arial" w:cs="Arial"/>
          <w:sz w:val="20"/>
          <w:szCs w:val="20"/>
        </w:rPr>
        <w:softHyphen/>
        <w:t>cières dans ses livres de compte, cette monnaie étant la contrepartie d'achats de titres (de la dette) détenus par les institutions financières sur les marchés finan</w:t>
      </w:r>
      <w:r w:rsidRPr="00E22C25">
        <w:rPr>
          <w:rFonts w:ascii="Arial" w:hAnsi="Arial" w:cs="Arial"/>
          <w:sz w:val="20"/>
          <w:szCs w:val="20"/>
        </w:rPr>
        <w:softHyphen/>
        <w:t>ciers. Pour ces institutions financières, les créances sont donc converties en argent frais, ce qui gonfle leurs réserves (d'o</w:t>
      </w:r>
      <w:r w:rsidR="00B71208">
        <w:rPr>
          <w:rFonts w:ascii="Arial" w:hAnsi="Arial" w:cs="Arial"/>
          <w:sz w:val="20"/>
          <w:szCs w:val="20"/>
        </w:rPr>
        <w:t>ù la notion d'assouplissement « quantitatif »</w:t>
      </w:r>
      <w:r w:rsidRPr="00E22C25">
        <w:rPr>
          <w:rFonts w:ascii="Arial" w:hAnsi="Arial" w:cs="Arial"/>
          <w:sz w:val="20"/>
          <w:szCs w:val="20"/>
        </w:rPr>
        <w:t>) et leur permet, en théorie, de distri</w:t>
      </w:r>
      <w:r w:rsidRPr="00E22C25">
        <w:rPr>
          <w:rFonts w:ascii="Arial" w:hAnsi="Arial" w:cs="Arial"/>
          <w:sz w:val="20"/>
          <w:szCs w:val="20"/>
        </w:rPr>
        <w:softHyphen/>
        <w:t>buer davantage de crédits, et du crédit à meilleur prix (un taux plus faible), aux entreprises et aux particu</w:t>
      </w:r>
      <w:r w:rsidRPr="00E22C25">
        <w:rPr>
          <w:rFonts w:ascii="Arial" w:hAnsi="Arial" w:cs="Arial"/>
          <w:sz w:val="20"/>
          <w:szCs w:val="20"/>
        </w:rPr>
        <w:softHyphen/>
        <w:t xml:space="preserve">liers, lesquels retrouvent une marge de manœuvre pour investir et consommer, ce qui est censé doper l'activité et la croissance. </w:t>
      </w:r>
    </w:p>
    <w:p w:rsidR="00D24502" w:rsidRDefault="00D24502" w:rsidP="0003696B">
      <w:pPr>
        <w:spacing w:after="0" w:line="240" w:lineRule="auto"/>
        <w:jc w:val="both"/>
        <w:rPr>
          <w:rFonts w:ascii="Arial" w:hAnsi="Arial" w:cs="Arial"/>
          <w:sz w:val="20"/>
          <w:szCs w:val="20"/>
        </w:rPr>
      </w:pPr>
      <w:r w:rsidRPr="00E22C25">
        <w:rPr>
          <w:rFonts w:ascii="Arial" w:hAnsi="Arial" w:cs="Arial"/>
          <w:sz w:val="20"/>
          <w:szCs w:val="20"/>
        </w:rPr>
        <w:t>En outre, le fait que la banque centrale achète massivement des obligations fait baisser leur rende</w:t>
      </w:r>
      <w:r w:rsidRPr="00E22C25">
        <w:rPr>
          <w:rFonts w:ascii="Arial" w:hAnsi="Arial" w:cs="Arial"/>
          <w:sz w:val="20"/>
          <w:szCs w:val="20"/>
        </w:rPr>
        <w:softHyphen/>
        <w:t xml:space="preserve">ment (l'augmentation de la demande d'obligations fait monter leur prix, donc leur rendement baisse), ce qui incite les investisseurs à acheter d'autres actifs financiers (dont les prix se mettent à monter, d'où les « effets de richesse» pour tous les détenteurs d'actifs) que les titres obligataires qui désormais rapportent moins. Le calcul est que les banques prêteront plutôt l'argent à des entreprises et à des particuliers tandis que les « non-banques » (fonds d'investissement, </w:t>
      </w:r>
      <w:proofErr w:type="spellStart"/>
      <w:r w:rsidRPr="00E22C25">
        <w:rPr>
          <w:rFonts w:ascii="Arial" w:hAnsi="Arial" w:cs="Arial"/>
          <w:i/>
          <w:iCs/>
          <w:sz w:val="20"/>
          <w:szCs w:val="20"/>
        </w:rPr>
        <w:t>hedge</w:t>
      </w:r>
      <w:proofErr w:type="spellEnd"/>
      <w:r w:rsidRPr="00E22C25">
        <w:rPr>
          <w:rFonts w:ascii="Arial" w:hAnsi="Arial" w:cs="Arial"/>
          <w:i/>
          <w:iCs/>
          <w:sz w:val="20"/>
          <w:szCs w:val="20"/>
        </w:rPr>
        <w:t xml:space="preserve"> </w:t>
      </w:r>
      <w:proofErr w:type="spellStart"/>
      <w:r w:rsidRPr="00E22C25">
        <w:rPr>
          <w:rFonts w:ascii="Arial" w:hAnsi="Arial" w:cs="Arial"/>
          <w:i/>
          <w:iCs/>
          <w:sz w:val="20"/>
          <w:szCs w:val="20"/>
        </w:rPr>
        <w:t>funds</w:t>
      </w:r>
      <w:proofErr w:type="spellEnd"/>
      <w:r w:rsidRPr="00E22C25">
        <w:rPr>
          <w:rFonts w:ascii="Arial" w:hAnsi="Arial" w:cs="Arial"/>
          <w:i/>
          <w:iCs/>
          <w:sz w:val="20"/>
          <w:szCs w:val="20"/>
        </w:rPr>
        <w:t xml:space="preserve">, </w:t>
      </w:r>
      <w:r w:rsidRPr="00E22C25">
        <w:rPr>
          <w:rFonts w:ascii="Arial" w:hAnsi="Arial" w:cs="Arial"/>
          <w:sz w:val="20"/>
          <w:szCs w:val="20"/>
        </w:rPr>
        <w:t xml:space="preserve">etc.) s'intéresseront à des investissements plus risqués dans des start-up, dans des PME ... Par ailleurs, la baisse des rendements obligataires est contagieuse : elle entraîne une baisse des taux des prêts bancaires accordés. Là encore, voilà autant de </w:t>
      </w:r>
      <w:r w:rsidRPr="00E22C25">
        <w:rPr>
          <w:rFonts w:ascii="Arial" w:hAnsi="Arial" w:cs="Arial"/>
          <w:sz w:val="20"/>
          <w:szCs w:val="20"/>
        </w:rPr>
        <w:lastRenderedPageBreak/>
        <w:t xml:space="preserve">vitamines supplémentaires pour l'économie. Enfin, en tirant l'ensemble des rendements vers le bas, notamment à long terme, la banque centrale qui s'adonne au </w:t>
      </w:r>
      <w:r w:rsidRPr="00E22C25">
        <w:rPr>
          <w:rFonts w:ascii="Arial" w:hAnsi="Arial" w:cs="Arial"/>
          <w:i/>
          <w:iCs/>
          <w:sz w:val="20"/>
          <w:szCs w:val="20"/>
        </w:rPr>
        <w:t xml:space="preserve">Quantitative </w:t>
      </w:r>
      <w:proofErr w:type="spellStart"/>
      <w:r w:rsidRPr="00E22C25">
        <w:rPr>
          <w:rFonts w:ascii="Arial" w:hAnsi="Arial" w:cs="Arial"/>
          <w:i/>
          <w:iCs/>
          <w:sz w:val="20"/>
          <w:szCs w:val="20"/>
        </w:rPr>
        <w:t>Easing</w:t>
      </w:r>
      <w:proofErr w:type="spellEnd"/>
      <w:r w:rsidRPr="00E22C25">
        <w:rPr>
          <w:rFonts w:ascii="Arial" w:hAnsi="Arial" w:cs="Arial"/>
          <w:i/>
          <w:iCs/>
          <w:sz w:val="20"/>
          <w:szCs w:val="20"/>
        </w:rPr>
        <w:t xml:space="preserve"> </w:t>
      </w:r>
      <w:r w:rsidRPr="00E22C25">
        <w:rPr>
          <w:rFonts w:ascii="Arial" w:hAnsi="Arial" w:cs="Arial"/>
          <w:sz w:val="20"/>
          <w:szCs w:val="20"/>
        </w:rPr>
        <w:t>peut espérer favori</w:t>
      </w:r>
      <w:r w:rsidRPr="00E22C25">
        <w:rPr>
          <w:rFonts w:ascii="Arial" w:hAnsi="Arial" w:cs="Arial"/>
          <w:sz w:val="20"/>
          <w:szCs w:val="20"/>
        </w:rPr>
        <w:softHyphen/>
        <w:t>ser la dépréciation de la monnaie, une aubaine pour les exportateurs locaux. Le caractère « non conven</w:t>
      </w:r>
      <w:r w:rsidRPr="00E22C25">
        <w:rPr>
          <w:rFonts w:ascii="Arial" w:hAnsi="Arial" w:cs="Arial"/>
          <w:sz w:val="20"/>
          <w:szCs w:val="20"/>
        </w:rPr>
        <w:softHyphen/>
        <w:t>tionnel » de cette politique tient au fait que la banque centrale qui y a recours n'utilise pas (ou n'est pas en mesure d'utiliser) les outils traditionnels de la poli</w:t>
      </w:r>
      <w:r w:rsidRPr="00E22C25">
        <w:rPr>
          <w:rFonts w:ascii="Arial" w:hAnsi="Arial" w:cs="Arial"/>
          <w:sz w:val="20"/>
          <w:szCs w:val="20"/>
        </w:rPr>
        <w:softHyphen/>
        <w:t>tique monétaire (les taux directeurs).</w:t>
      </w:r>
    </w:p>
    <w:p w:rsidR="00B71208" w:rsidRPr="00B71208" w:rsidRDefault="00B71208" w:rsidP="0003696B">
      <w:pPr>
        <w:spacing w:after="0" w:line="240" w:lineRule="auto"/>
        <w:jc w:val="both"/>
        <w:rPr>
          <w:rFonts w:ascii="Arial" w:hAnsi="Arial" w:cs="Arial"/>
          <w:sz w:val="8"/>
          <w:szCs w:val="8"/>
        </w:rPr>
      </w:pPr>
    </w:p>
    <w:p w:rsidR="00D24502" w:rsidRDefault="00D24502" w:rsidP="00B71208">
      <w:pPr>
        <w:spacing w:line="240" w:lineRule="auto"/>
        <w:ind w:left="426"/>
        <w:jc w:val="right"/>
        <w:rPr>
          <w:rFonts w:ascii="Arial" w:hAnsi="Arial" w:cs="Arial"/>
          <w:sz w:val="20"/>
          <w:szCs w:val="20"/>
        </w:rPr>
      </w:pPr>
      <w:r w:rsidRPr="00E22C25">
        <w:rPr>
          <w:rFonts w:ascii="Arial" w:hAnsi="Arial" w:cs="Arial"/>
          <w:sz w:val="20"/>
          <w:szCs w:val="20"/>
        </w:rPr>
        <w:t xml:space="preserve">P. Artus, M-P. </w:t>
      </w:r>
      <w:proofErr w:type="spellStart"/>
      <w:r w:rsidRPr="00E22C25">
        <w:rPr>
          <w:rFonts w:ascii="Arial" w:hAnsi="Arial" w:cs="Arial"/>
          <w:sz w:val="20"/>
          <w:szCs w:val="20"/>
        </w:rPr>
        <w:t>Virard</w:t>
      </w:r>
      <w:proofErr w:type="spellEnd"/>
      <w:r w:rsidRPr="00E22C25">
        <w:rPr>
          <w:rFonts w:ascii="Arial" w:hAnsi="Arial" w:cs="Arial"/>
          <w:sz w:val="20"/>
          <w:szCs w:val="20"/>
        </w:rPr>
        <w:t xml:space="preserve">, </w:t>
      </w:r>
      <w:r w:rsidRPr="00E22C25">
        <w:rPr>
          <w:rFonts w:ascii="Arial" w:hAnsi="Arial" w:cs="Arial"/>
          <w:i/>
          <w:sz w:val="20"/>
          <w:szCs w:val="20"/>
        </w:rPr>
        <w:t>La folie des banques centrales</w:t>
      </w:r>
      <w:r w:rsidRPr="00E22C25">
        <w:rPr>
          <w:rFonts w:ascii="Arial" w:hAnsi="Arial" w:cs="Arial"/>
          <w:sz w:val="20"/>
          <w:szCs w:val="20"/>
        </w:rPr>
        <w:t>, Fayard 2016</w:t>
      </w:r>
    </w:p>
    <w:p w:rsidR="00C92567" w:rsidRPr="00B71208" w:rsidRDefault="00C92567" w:rsidP="004F29C7">
      <w:pPr>
        <w:spacing w:line="240" w:lineRule="auto"/>
        <w:jc w:val="both"/>
        <w:rPr>
          <w:rFonts w:ascii="Arial" w:hAnsi="Arial" w:cs="Arial"/>
          <w:sz w:val="8"/>
          <w:szCs w:val="8"/>
        </w:rPr>
      </w:pPr>
    </w:p>
    <w:p w:rsidR="00D24502" w:rsidRPr="0003696B" w:rsidRDefault="00D2555F" w:rsidP="004F29C7">
      <w:pPr>
        <w:spacing w:line="240" w:lineRule="auto"/>
        <w:jc w:val="both"/>
        <w:rPr>
          <w:rFonts w:ascii="Arial" w:hAnsi="Arial" w:cs="Arial"/>
          <w:b/>
          <w:sz w:val="20"/>
          <w:szCs w:val="20"/>
          <w:u w:val="single"/>
        </w:rPr>
      </w:pPr>
      <w:r w:rsidRPr="0003696B">
        <w:rPr>
          <w:rFonts w:ascii="Arial" w:hAnsi="Arial" w:cs="Arial"/>
          <w:b/>
          <w:sz w:val="20"/>
          <w:szCs w:val="20"/>
          <w:u w:val="single"/>
        </w:rPr>
        <w:t>Document </w:t>
      </w:r>
      <w:r w:rsidR="001655A8">
        <w:rPr>
          <w:rFonts w:ascii="Arial" w:hAnsi="Arial" w:cs="Arial"/>
          <w:b/>
          <w:sz w:val="20"/>
          <w:szCs w:val="20"/>
          <w:u w:val="single"/>
        </w:rPr>
        <w:t xml:space="preserve"> 28</w:t>
      </w:r>
      <w:r w:rsidR="0003696B" w:rsidRPr="0003696B">
        <w:rPr>
          <w:rFonts w:ascii="Arial" w:hAnsi="Arial" w:cs="Arial"/>
          <w:b/>
          <w:sz w:val="20"/>
          <w:szCs w:val="20"/>
          <w:u w:val="single"/>
        </w:rPr>
        <w:t xml:space="preserve"> </w:t>
      </w:r>
      <w:r w:rsidRPr="0003696B">
        <w:rPr>
          <w:rFonts w:ascii="Arial" w:hAnsi="Arial" w:cs="Arial"/>
          <w:b/>
          <w:sz w:val="20"/>
          <w:szCs w:val="20"/>
          <w:u w:val="single"/>
        </w:rPr>
        <w:t xml:space="preserve">: la mise en œuvre du Quantitative </w:t>
      </w:r>
      <w:proofErr w:type="spellStart"/>
      <w:r w:rsidRPr="0003696B">
        <w:rPr>
          <w:rFonts w:ascii="Arial" w:hAnsi="Arial" w:cs="Arial"/>
          <w:b/>
          <w:sz w:val="20"/>
          <w:szCs w:val="20"/>
          <w:u w:val="single"/>
        </w:rPr>
        <w:t>Easing</w:t>
      </w:r>
      <w:proofErr w:type="spellEnd"/>
    </w:p>
    <w:p w:rsidR="00D2555F" w:rsidRPr="00E22C25" w:rsidRDefault="00D2555F" w:rsidP="0003696B">
      <w:pPr>
        <w:spacing w:after="0" w:line="240" w:lineRule="auto"/>
        <w:jc w:val="both"/>
        <w:rPr>
          <w:rFonts w:ascii="Arial" w:hAnsi="Arial" w:cs="Arial"/>
          <w:sz w:val="20"/>
          <w:szCs w:val="20"/>
        </w:rPr>
      </w:pPr>
      <w:r w:rsidRPr="00E22C25">
        <w:rPr>
          <w:rFonts w:ascii="Arial" w:hAnsi="Arial" w:cs="Arial"/>
          <w:sz w:val="20"/>
          <w:szCs w:val="20"/>
        </w:rPr>
        <w:t>La décision de recourir aux politiques monétaires non conventionnelles a en outre été prise alors qu'en 2008 le système montrait déjà des signes de suren</w:t>
      </w:r>
      <w:r w:rsidRPr="00E22C25">
        <w:rPr>
          <w:rFonts w:ascii="Arial" w:hAnsi="Arial" w:cs="Arial"/>
          <w:sz w:val="20"/>
          <w:szCs w:val="20"/>
        </w:rPr>
        <w:softHyphen/>
        <w:t>dettement annonciateurs de la fin du cycle du crédit initié par Alan Greenspan, l'ex-gouverneur de la Réserve fédérale. Il a toutefois été jugé préférable et possible de repousser les limites de la dette. En fait, les banquiers centraux ont décidé de compenser une demande trop faible provoquée par le manque de pouvoir d'achat des revenus salariaux du monde industrialisé par une expansion ininterrompue du crédit. Ils l'ont fait par l'octroi de garanties gouver</w:t>
      </w:r>
      <w:r w:rsidRPr="00E22C25">
        <w:rPr>
          <w:rFonts w:ascii="Arial" w:hAnsi="Arial" w:cs="Arial"/>
          <w:sz w:val="20"/>
          <w:szCs w:val="20"/>
        </w:rPr>
        <w:softHyphen/>
        <w:t xml:space="preserve">nementales aux débiteurs et institutions affaiblies, par la mise à disposition de liquidités gratuites, par la stimulation de l'appétit des acteurs pour le risque, par la promesse que cela allait continuer et que l'on ne prendrait personne par surprise. </w:t>
      </w:r>
    </w:p>
    <w:p w:rsidR="00D2555F" w:rsidRDefault="00D2555F" w:rsidP="0003696B">
      <w:pPr>
        <w:spacing w:after="0" w:line="240" w:lineRule="auto"/>
        <w:jc w:val="both"/>
        <w:rPr>
          <w:rFonts w:ascii="Arial" w:hAnsi="Arial" w:cs="Arial"/>
          <w:sz w:val="20"/>
          <w:szCs w:val="20"/>
        </w:rPr>
      </w:pPr>
      <w:r w:rsidRPr="00E22C25">
        <w:rPr>
          <w:rFonts w:ascii="Arial" w:hAnsi="Arial" w:cs="Arial"/>
          <w:sz w:val="20"/>
          <w:szCs w:val="20"/>
        </w:rPr>
        <w:t xml:space="preserve">Après trois programmes successifs et un bilan qui est passé de moins de 1 000 milliards de dollars en 2007 à plus de 4 000 milliards, la Fed a décidé le 29 octobre 2014 de mettre un terme au </w:t>
      </w:r>
      <w:r w:rsidRPr="00E22C25">
        <w:rPr>
          <w:rFonts w:ascii="Arial" w:hAnsi="Arial" w:cs="Arial"/>
          <w:i/>
          <w:iCs/>
          <w:sz w:val="20"/>
          <w:szCs w:val="20"/>
        </w:rPr>
        <w:t xml:space="preserve">QE, </w:t>
      </w:r>
      <w:r w:rsidRPr="00E22C25">
        <w:rPr>
          <w:rFonts w:ascii="Arial" w:hAnsi="Arial" w:cs="Arial"/>
          <w:sz w:val="20"/>
          <w:szCs w:val="20"/>
        </w:rPr>
        <w:t>mais a maintenu, tout comme le Royaume-Uni, une poli</w:t>
      </w:r>
      <w:r w:rsidRPr="00E22C25">
        <w:rPr>
          <w:rFonts w:ascii="Arial" w:hAnsi="Arial" w:cs="Arial"/>
          <w:sz w:val="20"/>
          <w:szCs w:val="20"/>
        </w:rPr>
        <w:softHyphen/>
        <w:t>tique très expansionniste avec des taux d'intérêt qui restent nettement plus bas que la croissance nomi</w:t>
      </w:r>
      <w:r w:rsidRPr="00E22C25">
        <w:rPr>
          <w:rFonts w:ascii="Arial" w:hAnsi="Arial" w:cs="Arial"/>
          <w:sz w:val="20"/>
          <w:szCs w:val="20"/>
        </w:rPr>
        <w:softHyphen/>
        <w:t xml:space="preserve">nale (à la rentrée 2015, le taux des </w:t>
      </w:r>
      <w:r w:rsidRPr="00E22C25">
        <w:rPr>
          <w:rFonts w:ascii="Arial" w:hAnsi="Arial" w:cs="Arial"/>
          <w:i/>
          <w:iCs/>
          <w:sz w:val="20"/>
          <w:szCs w:val="20"/>
        </w:rPr>
        <w:t xml:space="preserve">Fed </w:t>
      </w:r>
      <w:proofErr w:type="spellStart"/>
      <w:r w:rsidR="00D6241E">
        <w:rPr>
          <w:rFonts w:ascii="Arial" w:hAnsi="Arial" w:cs="Arial"/>
          <w:i/>
          <w:iCs/>
          <w:sz w:val="20"/>
          <w:szCs w:val="20"/>
        </w:rPr>
        <w:t>f</w:t>
      </w:r>
      <w:r w:rsidRPr="00E22C25">
        <w:rPr>
          <w:rFonts w:ascii="Arial" w:hAnsi="Arial" w:cs="Arial"/>
          <w:i/>
          <w:iCs/>
          <w:sz w:val="20"/>
          <w:szCs w:val="20"/>
        </w:rPr>
        <w:t>unds</w:t>
      </w:r>
      <w:proofErr w:type="spellEnd"/>
      <w:r w:rsidRPr="00E22C25">
        <w:rPr>
          <w:rFonts w:ascii="Arial" w:hAnsi="Arial" w:cs="Arial"/>
          <w:i/>
          <w:iCs/>
          <w:sz w:val="20"/>
          <w:szCs w:val="20"/>
        </w:rPr>
        <w:t xml:space="preserve"> </w:t>
      </w:r>
      <w:r w:rsidR="00697A97">
        <w:rPr>
          <w:rFonts w:ascii="Arial" w:hAnsi="Arial" w:cs="Arial"/>
          <w:sz w:val="20"/>
          <w:szCs w:val="20"/>
        </w:rPr>
        <w:t>était à 0,25%, le « </w:t>
      </w:r>
      <w:r w:rsidRPr="00E22C25">
        <w:rPr>
          <w:rFonts w:ascii="Arial" w:hAnsi="Arial" w:cs="Arial"/>
          <w:sz w:val="20"/>
          <w:szCs w:val="20"/>
        </w:rPr>
        <w:t>dix ans</w:t>
      </w:r>
      <w:r w:rsidR="00697A97">
        <w:rPr>
          <w:rFonts w:ascii="Arial" w:hAnsi="Arial" w:cs="Arial"/>
          <w:sz w:val="20"/>
          <w:szCs w:val="20"/>
        </w:rPr>
        <w:t> » à 1,91</w:t>
      </w:r>
      <w:r w:rsidRPr="00E22C25">
        <w:rPr>
          <w:rFonts w:ascii="Arial" w:hAnsi="Arial" w:cs="Arial"/>
          <w:sz w:val="20"/>
          <w:szCs w:val="20"/>
        </w:rPr>
        <w:t>% et le taux de crois</w:t>
      </w:r>
      <w:r w:rsidR="00697A97">
        <w:rPr>
          <w:rFonts w:ascii="Arial" w:hAnsi="Arial" w:cs="Arial"/>
          <w:sz w:val="20"/>
          <w:szCs w:val="20"/>
        </w:rPr>
        <w:t>sance en valeur sur un an à 3,5</w:t>
      </w:r>
      <w:r w:rsidRPr="00E22C25">
        <w:rPr>
          <w:rFonts w:ascii="Arial" w:hAnsi="Arial" w:cs="Arial"/>
          <w:sz w:val="20"/>
          <w:szCs w:val="20"/>
        </w:rPr>
        <w:t xml:space="preserve">%). À fin novembre 2015, dans l'attente du début de la remontée des taux des </w:t>
      </w:r>
      <w:r w:rsidRPr="00E22C25">
        <w:rPr>
          <w:rFonts w:ascii="Arial" w:hAnsi="Arial" w:cs="Arial"/>
          <w:i/>
          <w:iCs/>
          <w:sz w:val="20"/>
          <w:szCs w:val="20"/>
        </w:rPr>
        <w:t xml:space="preserve">Fed </w:t>
      </w:r>
      <w:proofErr w:type="spellStart"/>
      <w:r w:rsidRPr="00E22C25">
        <w:rPr>
          <w:rFonts w:ascii="Arial" w:hAnsi="Arial" w:cs="Arial"/>
          <w:i/>
          <w:iCs/>
          <w:sz w:val="20"/>
          <w:szCs w:val="20"/>
        </w:rPr>
        <w:t>funds</w:t>
      </w:r>
      <w:proofErr w:type="spellEnd"/>
      <w:r w:rsidRPr="00E22C25">
        <w:rPr>
          <w:rFonts w:ascii="Arial" w:hAnsi="Arial" w:cs="Arial"/>
          <w:i/>
          <w:iCs/>
          <w:sz w:val="20"/>
          <w:szCs w:val="20"/>
        </w:rPr>
        <w:t xml:space="preserve"> </w:t>
      </w:r>
      <w:r w:rsidR="00697A97">
        <w:rPr>
          <w:rFonts w:ascii="Arial" w:hAnsi="Arial" w:cs="Arial"/>
          <w:sz w:val="20"/>
          <w:szCs w:val="20"/>
        </w:rPr>
        <w:t>en décembre 2015, le « 1</w:t>
      </w:r>
      <w:r w:rsidRPr="00E22C25">
        <w:rPr>
          <w:rFonts w:ascii="Arial" w:hAnsi="Arial" w:cs="Arial"/>
          <w:sz w:val="20"/>
          <w:szCs w:val="20"/>
        </w:rPr>
        <w:t>0 ans</w:t>
      </w:r>
      <w:r w:rsidR="00697A97">
        <w:rPr>
          <w:rFonts w:ascii="Arial" w:hAnsi="Arial" w:cs="Arial"/>
          <w:sz w:val="20"/>
          <w:szCs w:val="20"/>
        </w:rPr>
        <w:t> » était à 2,20</w:t>
      </w:r>
      <w:r w:rsidRPr="00E22C25">
        <w:rPr>
          <w:rFonts w:ascii="Arial" w:hAnsi="Arial" w:cs="Arial"/>
          <w:sz w:val="20"/>
          <w:szCs w:val="20"/>
        </w:rPr>
        <w:t>%</w:t>
      </w:r>
      <w:r w:rsidR="000C7E63">
        <w:rPr>
          <w:rFonts w:ascii="Arial" w:hAnsi="Arial" w:cs="Arial"/>
          <w:sz w:val="20"/>
          <w:szCs w:val="20"/>
        </w:rPr>
        <w:t>,</w:t>
      </w:r>
      <w:r w:rsidRPr="00E22C25">
        <w:rPr>
          <w:rFonts w:ascii="Arial" w:hAnsi="Arial" w:cs="Arial"/>
          <w:sz w:val="20"/>
          <w:szCs w:val="20"/>
        </w:rPr>
        <w:t xml:space="preserve"> mais le taux de croissance nominale attendu est près de 4 % en 2016. Quant à la </w:t>
      </w:r>
      <w:proofErr w:type="spellStart"/>
      <w:r w:rsidRPr="00E22C25">
        <w:rPr>
          <w:rFonts w:ascii="Arial" w:hAnsi="Arial" w:cs="Arial"/>
          <w:sz w:val="20"/>
          <w:szCs w:val="20"/>
        </w:rPr>
        <w:t>BeE</w:t>
      </w:r>
      <w:proofErr w:type="spellEnd"/>
      <w:r w:rsidRPr="00E22C25">
        <w:rPr>
          <w:rFonts w:ascii="Arial" w:hAnsi="Arial" w:cs="Arial"/>
          <w:sz w:val="20"/>
          <w:szCs w:val="20"/>
        </w:rPr>
        <w:t xml:space="preserve">, son programme de </w:t>
      </w:r>
      <w:r w:rsidRPr="00E22C25">
        <w:rPr>
          <w:rFonts w:ascii="Arial" w:hAnsi="Arial" w:cs="Arial"/>
          <w:i/>
          <w:iCs/>
          <w:sz w:val="20"/>
          <w:szCs w:val="20"/>
        </w:rPr>
        <w:t xml:space="preserve">Quantitative </w:t>
      </w:r>
      <w:proofErr w:type="spellStart"/>
      <w:r w:rsidRPr="00E22C25">
        <w:rPr>
          <w:rFonts w:ascii="Arial" w:hAnsi="Arial" w:cs="Arial"/>
          <w:i/>
          <w:iCs/>
          <w:sz w:val="20"/>
          <w:szCs w:val="20"/>
        </w:rPr>
        <w:t>Easing</w:t>
      </w:r>
      <w:proofErr w:type="spellEnd"/>
      <w:r w:rsidRPr="00E22C25">
        <w:rPr>
          <w:rFonts w:ascii="Arial" w:hAnsi="Arial" w:cs="Arial"/>
          <w:i/>
          <w:iCs/>
          <w:sz w:val="20"/>
          <w:szCs w:val="20"/>
        </w:rPr>
        <w:t xml:space="preserve"> </w:t>
      </w:r>
      <w:r w:rsidRPr="00E22C25">
        <w:rPr>
          <w:rFonts w:ascii="Arial" w:hAnsi="Arial" w:cs="Arial"/>
          <w:sz w:val="20"/>
          <w:szCs w:val="20"/>
        </w:rPr>
        <w:t>prévoit le rachat de 60 milliards d'euros d'emprunts souverains chaque mois (à partir de mars 2015) jusqu'en septembre 2016, ce qui repré</w:t>
      </w:r>
      <w:r w:rsidRPr="00E22C25">
        <w:rPr>
          <w:rFonts w:ascii="Arial" w:hAnsi="Arial" w:cs="Arial"/>
          <w:sz w:val="20"/>
          <w:szCs w:val="20"/>
        </w:rPr>
        <w:softHyphen/>
        <w:t xml:space="preserve">sentera 1 140 milliards d'euros et correspond à un peu plus de 10% de la masse monétaire en circulation en zone euro. En théorie, la Banque centrale européenne s'est lancée à son tour dans le </w:t>
      </w:r>
      <w:r w:rsidRPr="00E22C25">
        <w:rPr>
          <w:rFonts w:ascii="Arial" w:hAnsi="Arial" w:cs="Arial"/>
          <w:i/>
          <w:iCs/>
          <w:sz w:val="20"/>
          <w:szCs w:val="20"/>
        </w:rPr>
        <w:t xml:space="preserve">QE </w:t>
      </w:r>
      <w:r w:rsidRPr="00E22C25">
        <w:rPr>
          <w:rFonts w:ascii="Arial" w:hAnsi="Arial" w:cs="Arial"/>
          <w:sz w:val="20"/>
          <w:szCs w:val="20"/>
        </w:rPr>
        <w:t>pour ramener l'infla</w:t>
      </w:r>
      <w:r w:rsidRPr="00E22C25">
        <w:rPr>
          <w:rFonts w:ascii="Arial" w:hAnsi="Arial" w:cs="Arial"/>
          <w:sz w:val="20"/>
          <w:szCs w:val="20"/>
        </w:rPr>
        <w:softHyphen/>
        <w:t>tion de la zone eu</w:t>
      </w:r>
      <w:r w:rsidR="00697A97">
        <w:rPr>
          <w:rFonts w:ascii="Arial" w:hAnsi="Arial" w:cs="Arial"/>
          <w:sz w:val="20"/>
          <w:szCs w:val="20"/>
        </w:rPr>
        <w:t>ro (qui est nulle, -0,1</w:t>
      </w:r>
      <w:r w:rsidRPr="00E22C25">
        <w:rPr>
          <w:rFonts w:ascii="Arial" w:hAnsi="Arial" w:cs="Arial"/>
          <w:sz w:val="20"/>
          <w:szCs w:val="20"/>
        </w:rPr>
        <w:t>% en août 2015) vers son objectif, c'est-à-</w:t>
      </w:r>
      <w:r w:rsidR="00697A97">
        <w:rPr>
          <w:rFonts w:ascii="Arial" w:hAnsi="Arial" w:cs="Arial"/>
          <w:sz w:val="20"/>
          <w:szCs w:val="20"/>
        </w:rPr>
        <w:t>dire légèrement en dessous de 2</w:t>
      </w:r>
      <w:r w:rsidRPr="00E22C25">
        <w:rPr>
          <w:rFonts w:ascii="Arial" w:hAnsi="Arial" w:cs="Arial"/>
          <w:sz w:val="20"/>
          <w:szCs w:val="20"/>
        </w:rPr>
        <w:t xml:space="preserve">%. En réalité, la création </w:t>
      </w:r>
      <w:r w:rsidRPr="00E22C25">
        <w:rPr>
          <w:rFonts w:ascii="Arial" w:hAnsi="Arial" w:cs="Arial"/>
          <w:i/>
          <w:iCs/>
          <w:sz w:val="20"/>
          <w:szCs w:val="20"/>
        </w:rPr>
        <w:t xml:space="preserve">ex nihilo </w:t>
      </w:r>
      <w:r w:rsidRPr="00E22C25">
        <w:rPr>
          <w:rFonts w:ascii="Arial" w:hAnsi="Arial" w:cs="Arial"/>
          <w:sz w:val="20"/>
          <w:szCs w:val="20"/>
        </w:rPr>
        <w:t xml:space="preserve">de monnaie fait mécaniquement baisser le cours de l'euro (d'octobre 2014 à octobre 2015, la monnaie européenne a cédé 10% contre le billet vert). C'était voulu: toutes choses égales par ailleurs, les exportations de la zone sont redevenues plus compétitives. </w:t>
      </w:r>
    </w:p>
    <w:p w:rsidR="00697A97" w:rsidRPr="00697A97" w:rsidRDefault="00697A97" w:rsidP="0003696B">
      <w:pPr>
        <w:spacing w:after="0" w:line="240" w:lineRule="auto"/>
        <w:jc w:val="both"/>
        <w:rPr>
          <w:rFonts w:ascii="Arial" w:hAnsi="Arial" w:cs="Arial"/>
          <w:sz w:val="8"/>
          <w:szCs w:val="8"/>
        </w:rPr>
      </w:pPr>
    </w:p>
    <w:p w:rsidR="00D2555F" w:rsidRPr="00E22C25" w:rsidRDefault="00D2555F" w:rsidP="00697A97">
      <w:pPr>
        <w:spacing w:line="240" w:lineRule="auto"/>
        <w:ind w:left="426"/>
        <w:jc w:val="right"/>
        <w:rPr>
          <w:rFonts w:ascii="Arial" w:hAnsi="Arial" w:cs="Arial"/>
          <w:sz w:val="20"/>
          <w:szCs w:val="20"/>
        </w:rPr>
      </w:pPr>
      <w:r w:rsidRPr="00E22C25">
        <w:rPr>
          <w:rFonts w:ascii="Arial" w:hAnsi="Arial" w:cs="Arial"/>
          <w:sz w:val="20"/>
          <w:szCs w:val="20"/>
        </w:rPr>
        <w:t xml:space="preserve">P. Artus, M-P. </w:t>
      </w:r>
      <w:proofErr w:type="spellStart"/>
      <w:r w:rsidRPr="00E22C25">
        <w:rPr>
          <w:rFonts w:ascii="Arial" w:hAnsi="Arial" w:cs="Arial"/>
          <w:sz w:val="20"/>
          <w:szCs w:val="20"/>
        </w:rPr>
        <w:t>Virard</w:t>
      </w:r>
      <w:proofErr w:type="spellEnd"/>
      <w:r w:rsidRPr="00E22C25">
        <w:rPr>
          <w:rFonts w:ascii="Arial" w:hAnsi="Arial" w:cs="Arial"/>
          <w:sz w:val="20"/>
          <w:szCs w:val="20"/>
        </w:rPr>
        <w:t xml:space="preserve">, </w:t>
      </w:r>
      <w:r w:rsidRPr="00E22C25">
        <w:rPr>
          <w:rFonts w:ascii="Arial" w:hAnsi="Arial" w:cs="Arial"/>
          <w:i/>
          <w:sz w:val="20"/>
          <w:szCs w:val="20"/>
        </w:rPr>
        <w:t>La folie des banques centrales</w:t>
      </w:r>
      <w:r w:rsidRPr="00E22C25">
        <w:rPr>
          <w:rFonts w:ascii="Arial" w:hAnsi="Arial" w:cs="Arial"/>
          <w:sz w:val="20"/>
          <w:szCs w:val="20"/>
        </w:rPr>
        <w:t>, Fayard 2016</w:t>
      </w:r>
    </w:p>
    <w:p w:rsidR="00D62341" w:rsidRPr="0003696B" w:rsidRDefault="0003696B" w:rsidP="00697A97">
      <w:pPr>
        <w:spacing w:after="60"/>
        <w:rPr>
          <w:rFonts w:ascii="Arial" w:hAnsi="Arial" w:cs="Arial"/>
          <w:b/>
          <w:sz w:val="20"/>
          <w:szCs w:val="20"/>
          <w:u w:val="single"/>
        </w:rPr>
      </w:pPr>
      <w:r w:rsidRPr="0003696B">
        <w:rPr>
          <w:rFonts w:ascii="Arial" w:hAnsi="Arial" w:cs="Arial"/>
          <w:b/>
          <w:sz w:val="20"/>
          <w:szCs w:val="20"/>
          <w:u w:val="single"/>
        </w:rPr>
        <w:t>Document 2</w:t>
      </w:r>
      <w:r w:rsidR="001655A8">
        <w:rPr>
          <w:rFonts w:ascii="Arial" w:hAnsi="Arial" w:cs="Arial"/>
          <w:b/>
          <w:sz w:val="20"/>
          <w:szCs w:val="20"/>
          <w:u w:val="single"/>
        </w:rPr>
        <w:t>9 :</w:t>
      </w:r>
      <w:r w:rsidR="00D62341" w:rsidRPr="0003696B">
        <w:rPr>
          <w:rFonts w:ascii="Arial" w:hAnsi="Arial" w:cs="Arial"/>
          <w:b/>
          <w:sz w:val="20"/>
          <w:szCs w:val="20"/>
          <w:u w:val="single"/>
        </w:rPr>
        <w:t xml:space="preserve"> le </w:t>
      </w:r>
      <w:r w:rsidR="00D62341" w:rsidRPr="00B71208">
        <w:rPr>
          <w:rFonts w:ascii="Arial" w:hAnsi="Arial" w:cs="Arial"/>
          <w:b/>
          <w:i/>
          <w:sz w:val="20"/>
          <w:szCs w:val="20"/>
          <w:u w:val="single"/>
        </w:rPr>
        <w:t xml:space="preserve">quantitative </w:t>
      </w:r>
      <w:proofErr w:type="spellStart"/>
      <w:r w:rsidR="00D62341" w:rsidRPr="00B71208">
        <w:rPr>
          <w:rFonts w:ascii="Arial" w:hAnsi="Arial" w:cs="Arial"/>
          <w:b/>
          <w:i/>
          <w:sz w:val="20"/>
          <w:szCs w:val="20"/>
          <w:u w:val="single"/>
        </w:rPr>
        <w:t>easing</w:t>
      </w:r>
      <w:proofErr w:type="spellEnd"/>
      <w:r w:rsidR="00D62341" w:rsidRPr="0003696B">
        <w:rPr>
          <w:rFonts w:ascii="Arial" w:hAnsi="Arial" w:cs="Arial"/>
          <w:b/>
          <w:sz w:val="20"/>
          <w:szCs w:val="20"/>
          <w:u w:val="single"/>
        </w:rPr>
        <w:t>, effets et limites</w:t>
      </w:r>
    </w:p>
    <w:p w:rsidR="001D7CEC" w:rsidRPr="0003696B" w:rsidRDefault="001D7CEC" w:rsidP="00697A97">
      <w:pPr>
        <w:spacing w:after="60" w:line="240" w:lineRule="auto"/>
        <w:jc w:val="both"/>
        <w:rPr>
          <w:rFonts w:ascii="Arial" w:hAnsi="Arial" w:cs="Arial"/>
          <w:sz w:val="20"/>
          <w:szCs w:val="20"/>
        </w:rPr>
      </w:pPr>
      <w:r w:rsidRPr="0003696B">
        <w:rPr>
          <w:rFonts w:ascii="Arial" w:hAnsi="Arial" w:cs="Arial"/>
          <w:bCs/>
          <w:sz w:val="20"/>
          <w:szCs w:val="20"/>
        </w:rPr>
        <w:t xml:space="preserve">&gt; La planche à billets </w:t>
      </w:r>
      <w:r w:rsidR="00674031" w:rsidRPr="0003696B">
        <w:rPr>
          <w:rFonts w:ascii="Arial" w:hAnsi="Arial" w:cs="Arial"/>
          <w:sz w:val="20"/>
          <w:szCs w:val="20"/>
        </w:rPr>
        <w:t>des temps modernes</w:t>
      </w:r>
      <w:r w:rsidRPr="0003696B">
        <w:rPr>
          <w:rFonts w:ascii="Arial" w:hAnsi="Arial" w:cs="Arial"/>
          <w:sz w:val="20"/>
          <w:szCs w:val="20"/>
        </w:rPr>
        <w:t xml:space="preserve"> </w:t>
      </w:r>
    </w:p>
    <w:p w:rsidR="001D7CEC" w:rsidRPr="00E22C25" w:rsidRDefault="001D7CEC" w:rsidP="004F29C7">
      <w:pPr>
        <w:spacing w:after="0" w:line="240" w:lineRule="auto"/>
        <w:jc w:val="both"/>
        <w:rPr>
          <w:rFonts w:ascii="Arial" w:hAnsi="Arial" w:cs="Arial"/>
          <w:sz w:val="20"/>
          <w:szCs w:val="20"/>
        </w:rPr>
      </w:pPr>
      <w:r w:rsidRPr="00E22C25">
        <w:rPr>
          <w:rFonts w:ascii="Arial" w:hAnsi="Arial" w:cs="Arial"/>
          <w:sz w:val="20"/>
          <w:szCs w:val="20"/>
        </w:rPr>
        <w:t xml:space="preserve">Le </w:t>
      </w:r>
      <w:r w:rsidRPr="00E22C25">
        <w:rPr>
          <w:rFonts w:ascii="Arial" w:hAnsi="Arial" w:cs="Arial"/>
          <w:i/>
          <w:iCs/>
          <w:sz w:val="20"/>
          <w:szCs w:val="20"/>
        </w:rPr>
        <w:t xml:space="preserve">quantitative </w:t>
      </w:r>
      <w:proofErr w:type="spellStart"/>
      <w:r w:rsidRPr="00E22C25">
        <w:rPr>
          <w:rFonts w:ascii="Arial" w:hAnsi="Arial" w:cs="Arial"/>
          <w:i/>
          <w:iCs/>
          <w:sz w:val="20"/>
          <w:szCs w:val="20"/>
        </w:rPr>
        <w:t>easing</w:t>
      </w:r>
      <w:proofErr w:type="spellEnd"/>
      <w:r w:rsidRPr="00E22C25">
        <w:rPr>
          <w:rFonts w:ascii="Arial" w:hAnsi="Arial" w:cs="Arial"/>
          <w:i/>
          <w:iCs/>
          <w:sz w:val="20"/>
          <w:szCs w:val="20"/>
        </w:rPr>
        <w:t xml:space="preserve"> </w:t>
      </w:r>
      <w:r w:rsidRPr="00E22C25">
        <w:rPr>
          <w:rFonts w:ascii="Arial" w:hAnsi="Arial" w:cs="Arial"/>
          <w:sz w:val="20"/>
          <w:szCs w:val="20"/>
        </w:rPr>
        <w:t>(QE) (assouplissement monétaire e</w:t>
      </w:r>
      <w:r w:rsidR="00D6241E">
        <w:rPr>
          <w:rFonts w:ascii="Arial" w:hAnsi="Arial" w:cs="Arial"/>
          <w:sz w:val="20"/>
          <w:szCs w:val="20"/>
        </w:rPr>
        <w:t xml:space="preserve">n </w:t>
      </w:r>
      <w:r w:rsidRPr="00E22C25">
        <w:rPr>
          <w:rFonts w:ascii="Arial" w:hAnsi="Arial" w:cs="Arial"/>
          <w:sz w:val="20"/>
          <w:szCs w:val="20"/>
        </w:rPr>
        <w:t xml:space="preserve">français) est un instrument non conventionnel de politique monétaire utilisé par certaines banques centrales afin de stimuler la croissance, Le principe : les banquiers centraux rachètent massivement des actifs -la Banque centrale européenne (BCE) rachète principalement des titres de dette publics, mais d'autres banques centrales comme la </w:t>
      </w:r>
      <w:proofErr w:type="spellStart"/>
      <w:r w:rsidRPr="00E22C25">
        <w:rPr>
          <w:rFonts w:ascii="Arial" w:hAnsi="Arial" w:cs="Arial"/>
          <w:sz w:val="20"/>
          <w:szCs w:val="20"/>
        </w:rPr>
        <w:t>Federal</w:t>
      </w:r>
      <w:proofErr w:type="spellEnd"/>
      <w:r w:rsidRPr="00E22C25">
        <w:rPr>
          <w:rFonts w:ascii="Arial" w:hAnsi="Arial" w:cs="Arial"/>
          <w:sz w:val="20"/>
          <w:szCs w:val="20"/>
        </w:rPr>
        <w:t xml:space="preserve"> Reserve (Fed) rachètent également des actions </w:t>
      </w:r>
      <w:r w:rsidRPr="00E22C25">
        <w:rPr>
          <w:rFonts w:ascii="Arial" w:hAnsi="Arial" w:cs="Arial"/>
          <w:sz w:val="20"/>
          <w:szCs w:val="20"/>
        </w:rPr>
        <w:softHyphen/>
        <w:t xml:space="preserve">auprès des banques privées, des assurances et des fonds d'investissements, Pour acquérir ces titres, la banque centrale crée de la monnaie, qui sera donc réinjectée dans les circuits bancaires, Le but est d'accroître le montant des liquidités des banques afin de les inciter à accorder plus facilement des prêts aux ménages et entreprises, et ainsi favoriser le redémarrage du crédit, de la consommation </w:t>
      </w:r>
      <w:r w:rsidR="00674031" w:rsidRPr="00E22C25">
        <w:rPr>
          <w:rFonts w:ascii="Arial" w:hAnsi="Arial" w:cs="Arial"/>
          <w:sz w:val="20"/>
          <w:szCs w:val="20"/>
        </w:rPr>
        <w:t>et, de facto, de la croissance.</w:t>
      </w:r>
    </w:p>
    <w:p w:rsidR="001D7CEC" w:rsidRDefault="001D7CEC" w:rsidP="00697A97">
      <w:pPr>
        <w:spacing w:after="0" w:line="240" w:lineRule="auto"/>
        <w:jc w:val="both"/>
        <w:rPr>
          <w:rFonts w:ascii="Arial" w:hAnsi="Arial" w:cs="Arial"/>
          <w:sz w:val="20"/>
          <w:szCs w:val="20"/>
        </w:rPr>
      </w:pPr>
      <w:r w:rsidRPr="00E22C25">
        <w:rPr>
          <w:rFonts w:ascii="Arial" w:hAnsi="Arial" w:cs="Arial"/>
          <w:sz w:val="20"/>
          <w:szCs w:val="20"/>
        </w:rPr>
        <w:t xml:space="preserve">Le recours à cet instrument de politique monétaire est tout à fait inédit dans l'histoire des banques centrales, La Fed </w:t>
      </w:r>
      <w:r w:rsidR="001F28D0">
        <w:rPr>
          <w:rFonts w:ascii="Arial" w:hAnsi="Arial" w:cs="Arial"/>
          <w:sz w:val="20"/>
          <w:szCs w:val="20"/>
        </w:rPr>
        <w:t>a commencé à l'utiliser dès 2008</w:t>
      </w:r>
      <w:r w:rsidRPr="00E22C25">
        <w:rPr>
          <w:rFonts w:ascii="Arial" w:hAnsi="Arial" w:cs="Arial"/>
          <w:sz w:val="20"/>
          <w:szCs w:val="20"/>
        </w:rPr>
        <w:t>, après la faillite de la ba</w:t>
      </w:r>
      <w:r w:rsidR="00674031" w:rsidRPr="00E22C25">
        <w:rPr>
          <w:rFonts w:ascii="Arial" w:hAnsi="Arial" w:cs="Arial"/>
          <w:sz w:val="20"/>
          <w:szCs w:val="20"/>
        </w:rPr>
        <w:t xml:space="preserve">nque américaine </w:t>
      </w:r>
      <w:proofErr w:type="spellStart"/>
      <w:r w:rsidR="00674031" w:rsidRPr="00E22C25">
        <w:rPr>
          <w:rFonts w:ascii="Arial" w:hAnsi="Arial" w:cs="Arial"/>
          <w:sz w:val="20"/>
          <w:szCs w:val="20"/>
        </w:rPr>
        <w:t>Lehman</w:t>
      </w:r>
      <w:proofErr w:type="spellEnd"/>
      <w:r w:rsidR="00674031" w:rsidRPr="00E22C25">
        <w:rPr>
          <w:rFonts w:ascii="Arial" w:hAnsi="Arial" w:cs="Arial"/>
          <w:sz w:val="20"/>
          <w:szCs w:val="20"/>
        </w:rPr>
        <w:t xml:space="preserve"> </w:t>
      </w:r>
      <w:proofErr w:type="spellStart"/>
      <w:r w:rsidR="00674031" w:rsidRPr="00E22C25">
        <w:rPr>
          <w:rFonts w:ascii="Arial" w:hAnsi="Arial" w:cs="Arial"/>
          <w:sz w:val="20"/>
          <w:szCs w:val="20"/>
        </w:rPr>
        <w:t>Brothers</w:t>
      </w:r>
      <w:proofErr w:type="spellEnd"/>
      <w:r w:rsidR="00674031" w:rsidRPr="00E22C25">
        <w:rPr>
          <w:rFonts w:ascii="Arial" w:hAnsi="Arial" w:cs="Arial"/>
          <w:sz w:val="20"/>
          <w:szCs w:val="20"/>
        </w:rPr>
        <w:t>.</w:t>
      </w:r>
      <w:r w:rsidRPr="00E22C25">
        <w:rPr>
          <w:rFonts w:ascii="Arial" w:hAnsi="Arial" w:cs="Arial"/>
          <w:sz w:val="20"/>
          <w:szCs w:val="20"/>
        </w:rPr>
        <w:t xml:space="preserve"> Elle a ensuite été suivie par la Banque d'Angleterre et la Banque du Japon, La Fed a interrompu le rachat d'actifs courant 2014, après six années d'opérations ayant totalisé près de 6700 milliards de dollars mis</w:t>
      </w:r>
      <w:r w:rsidR="00674031" w:rsidRPr="00E22C25">
        <w:rPr>
          <w:rFonts w:ascii="Arial" w:hAnsi="Arial" w:cs="Arial"/>
          <w:sz w:val="20"/>
          <w:szCs w:val="20"/>
        </w:rPr>
        <w:t xml:space="preserve"> en circulation dans l'économie. </w:t>
      </w:r>
      <w:r w:rsidRPr="00E22C25">
        <w:rPr>
          <w:rFonts w:ascii="Arial" w:hAnsi="Arial" w:cs="Arial"/>
          <w:sz w:val="20"/>
          <w:szCs w:val="20"/>
        </w:rPr>
        <w:t xml:space="preserve"> Au total, depuis2007, près de 13000 milliards de dollars - soit 11400 milliards d'euros</w:t>
      </w:r>
      <w:r w:rsidR="00674031" w:rsidRPr="00E22C25">
        <w:rPr>
          <w:rFonts w:ascii="Arial" w:hAnsi="Arial" w:cs="Arial"/>
          <w:sz w:val="20"/>
          <w:szCs w:val="20"/>
        </w:rPr>
        <w:t xml:space="preserve"> - </w:t>
      </w:r>
      <w:r w:rsidRPr="00E22C25">
        <w:rPr>
          <w:rFonts w:ascii="Arial" w:hAnsi="Arial" w:cs="Arial"/>
          <w:sz w:val="20"/>
          <w:szCs w:val="20"/>
        </w:rPr>
        <w:softHyphen/>
        <w:t>ont été injectés par les banques centrales dans le monde</w:t>
      </w:r>
      <w:r w:rsidR="00D6241E">
        <w:rPr>
          <w:rFonts w:ascii="Arial" w:hAnsi="Arial" w:cs="Arial"/>
          <w:sz w:val="20"/>
          <w:szCs w:val="20"/>
        </w:rPr>
        <w:t>.</w:t>
      </w:r>
      <w:r w:rsidRPr="00E22C25">
        <w:rPr>
          <w:rFonts w:ascii="Arial" w:hAnsi="Arial" w:cs="Arial"/>
          <w:sz w:val="20"/>
          <w:szCs w:val="20"/>
        </w:rPr>
        <w:t xml:space="preserve"> Depuis mars 2015, la BCE rachète à son tour des actifs au rythme de 60 milliards d'euros par mois, Le programme devait durer jusqu'en septembre 2016, mais a été prolongé au</w:t>
      </w:r>
      <w:r w:rsidR="00674031" w:rsidRPr="00E22C25">
        <w:rPr>
          <w:rFonts w:ascii="Arial" w:hAnsi="Arial" w:cs="Arial"/>
          <w:sz w:val="20"/>
          <w:szCs w:val="20"/>
        </w:rPr>
        <w:t xml:space="preserve"> minimum jusqu'en mars 2017.</w:t>
      </w:r>
    </w:p>
    <w:p w:rsidR="00697A97" w:rsidRPr="00697A97" w:rsidRDefault="00697A97" w:rsidP="00697A97">
      <w:pPr>
        <w:spacing w:after="0" w:line="240" w:lineRule="auto"/>
        <w:jc w:val="both"/>
        <w:rPr>
          <w:rFonts w:ascii="Arial" w:hAnsi="Arial" w:cs="Arial"/>
          <w:sz w:val="8"/>
          <w:szCs w:val="8"/>
        </w:rPr>
      </w:pPr>
    </w:p>
    <w:p w:rsidR="001D7CEC" w:rsidRPr="0003696B" w:rsidRDefault="001D7CEC" w:rsidP="00697A97">
      <w:pPr>
        <w:spacing w:after="60" w:line="240" w:lineRule="auto"/>
        <w:jc w:val="both"/>
        <w:rPr>
          <w:rFonts w:ascii="Arial" w:hAnsi="Arial" w:cs="Arial"/>
          <w:bCs/>
          <w:sz w:val="20"/>
          <w:szCs w:val="20"/>
        </w:rPr>
      </w:pPr>
      <w:r w:rsidRPr="0003696B">
        <w:rPr>
          <w:rFonts w:ascii="Arial" w:hAnsi="Arial" w:cs="Arial"/>
          <w:bCs/>
          <w:sz w:val="20"/>
          <w:szCs w:val="20"/>
        </w:rPr>
        <w:t>&gt; Les conséquences</w:t>
      </w:r>
      <w:r w:rsidR="00674031" w:rsidRPr="0003696B">
        <w:rPr>
          <w:rFonts w:ascii="Arial" w:hAnsi="Arial" w:cs="Arial"/>
          <w:bCs/>
          <w:sz w:val="20"/>
          <w:szCs w:val="20"/>
        </w:rPr>
        <w:t xml:space="preserve"> </w:t>
      </w:r>
      <w:r w:rsidRPr="0003696B">
        <w:rPr>
          <w:rFonts w:ascii="Arial" w:hAnsi="Arial" w:cs="Arial"/>
          <w:bCs/>
          <w:sz w:val="20"/>
          <w:szCs w:val="20"/>
        </w:rPr>
        <w:t xml:space="preserve">du </w:t>
      </w:r>
      <w:r w:rsidRPr="0003696B">
        <w:rPr>
          <w:rFonts w:ascii="Arial" w:hAnsi="Arial" w:cs="Arial"/>
          <w:bCs/>
          <w:i/>
          <w:iCs/>
          <w:sz w:val="20"/>
          <w:szCs w:val="20"/>
        </w:rPr>
        <w:t xml:space="preserve">quantitative </w:t>
      </w:r>
      <w:proofErr w:type="spellStart"/>
      <w:r w:rsidRPr="0003696B">
        <w:rPr>
          <w:rFonts w:ascii="Arial" w:hAnsi="Arial" w:cs="Arial"/>
          <w:bCs/>
          <w:i/>
          <w:iCs/>
          <w:sz w:val="20"/>
          <w:szCs w:val="20"/>
        </w:rPr>
        <w:t>easing</w:t>
      </w:r>
      <w:proofErr w:type="spellEnd"/>
      <w:r w:rsidRPr="0003696B">
        <w:rPr>
          <w:rFonts w:ascii="Arial" w:hAnsi="Arial" w:cs="Arial"/>
          <w:bCs/>
          <w:i/>
          <w:iCs/>
          <w:sz w:val="20"/>
          <w:szCs w:val="20"/>
        </w:rPr>
        <w:t xml:space="preserve"> </w:t>
      </w:r>
    </w:p>
    <w:p w:rsidR="001D7CEC" w:rsidRPr="00E22C25" w:rsidRDefault="001D7CEC" w:rsidP="0003696B">
      <w:pPr>
        <w:spacing w:after="0" w:line="240" w:lineRule="auto"/>
        <w:jc w:val="both"/>
        <w:rPr>
          <w:rFonts w:ascii="Arial" w:hAnsi="Arial" w:cs="Arial"/>
          <w:sz w:val="20"/>
          <w:szCs w:val="20"/>
        </w:rPr>
      </w:pPr>
      <w:r w:rsidRPr="00E22C25">
        <w:rPr>
          <w:rFonts w:ascii="Arial" w:hAnsi="Arial" w:cs="Arial"/>
          <w:sz w:val="20"/>
          <w:szCs w:val="20"/>
        </w:rPr>
        <w:t>Le QE est censé réussir là où la simple baisse du taux directeur - déjà maintenu à un niveau proche de zéro dans la zone euro et aux États-Unis depuis plusieurs années - a échoué : relancer la croissance et le taux d'inflation à 2 %, évitant ainsi le spectre de la déflation, L'un des enjeux consiste notamment à favoriser le recours à l'emprunt pour inciter les ménages à consommer et les entreprises à investir</w:t>
      </w:r>
      <w:r w:rsidR="00D6241E">
        <w:rPr>
          <w:rFonts w:ascii="Arial" w:hAnsi="Arial" w:cs="Arial"/>
          <w:sz w:val="20"/>
          <w:szCs w:val="20"/>
        </w:rPr>
        <w:t>.</w:t>
      </w:r>
      <w:r w:rsidRPr="00E22C25">
        <w:rPr>
          <w:rFonts w:ascii="Arial" w:hAnsi="Arial" w:cs="Arial"/>
          <w:sz w:val="20"/>
          <w:szCs w:val="20"/>
        </w:rPr>
        <w:t xml:space="preserve"> Or, dans la zone euro, ni la croissance ni le taux d'investissement ne sont pour l'instant au rendez-vous, Aux États-Unis, en revanche, l'usage du QE semble avoir fait ses preuves, les indicateurs étant revenus au vert, couplés à un taux de chômage </w:t>
      </w:r>
      <w:r w:rsidR="00674031" w:rsidRPr="00E22C25">
        <w:rPr>
          <w:rFonts w:ascii="Arial" w:hAnsi="Arial" w:cs="Arial"/>
          <w:sz w:val="20"/>
          <w:szCs w:val="20"/>
        </w:rPr>
        <w:t>inférieur à 5 %.</w:t>
      </w:r>
    </w:p>
    <w:p w:rsidR="001D7CEC" w:rsidRDefault="001D7CEC" w:rsidP="0003696B">
      <w:pPr>
        <w:spacing w:after="0" w:line="240" w:lineRule="auto"/>
        <w:jc w:val="both"/>
        <w:rPr>
          <w:rFonts w:ascii="Arial" w:hAnsi="Arial" w:cs="Arial"/>
          <w:sz w:val="20"/>
          <w:szCs w:val="20"/>
        </w:rPr>
      </w:pPr>
      <w:r w:rsidRPr="00E22C25">
        <w:rPr>
          <w:rFonts w:ascii="Arial" w:hAnsi="Arial" w:cs="Arial"/>
          <w:sz w:val="20"/>
          <w:szCs w:val="20"/>
        </w:rPr>
        <w:lastRenderedPageBreak/>
        <w:t>Plusieurs éléments permettent d'expliquer ces différences</w:t>
      </w:r>
      <w:r w:rsidR="00674031" w:rsidRPr="00E22C25">
        <w:rPr>
          <w:rFonts w:ascii="Arial" w:hAnsi="Arial" w:cs="Arial"/>
          <w:sz w:val="20"/>
          <w:szCs w:val="20"/>
        </w:rPr>
        <w:t xml:space="preserve"> </w:t>
      </w:r>
      <w:r w:rsidRPr="00E22C25">
        <w:rPr>
          <w:rFonts w:ascii="Arial" w:hAnsi="Arial" w:cs="Arial"/>
          <w:sz w:val="20"/>
          <w:szCs w:val="20"/>
        </w:rPr>
        <w:t>:</w:t>
      </w:r>
      <w:r w:rsidR="00674031" w:rsidRPr="00E22C25">
        <w:rPr>
          <w:rFonts w:ascii="Arial" w:hAnsi="Arial" w:cs="Arial"/>
          <w:sz w:val="20"/>
          <w:szCs w:val="20"/>
        </w:rPr>
        <w:t xml:space="preserve"> </w:t>
      </w:r>
      <w:r w:rsidRPr="00E22C25">
        <w:rPr>
          <w:rFonts w:ascii="Arial" w:hAnsi="Arial" w:cs="Arial"/>
          <w:sz w:val="20"/>
          <w:szCs w:val="20"/>
        </w:rPr>
        <w:t>la durée d'action n'est pas la même, la BCE n'ayant démarré son opération de rachat d'actifs qu'en mars 2015, et</w:t>
      </w:r>
      <w:r w:rsidR="00674031" w:rsidRPr="00E22C25">
        <w:rPr>
          <w:rFonts w:ascii="Arial" w:hAnsi="Arial" w:cs="Arial"/>
          <w:sz w:val="20"/>
          <w:szCs w:val="20"/>
        </w:rPr>
        <w:t xml:space="preserve"> </w:t>
      </w:r>
      <w:r w:rsidRPr="00E22C25">
        <w:rPr>
          <w:rFonts w:ascii="Arial" w:hAnsi="Arial" w:cs="Arial"/>
          <w:sz w:val="20"/>
          <w:szCs w:val="20"/>
        </w:rPr>
        <w:t>les États-Unis peuvent coupler leur politique monétaire avec une politique budgétaire adéquate, ce qui n'est pas le cas dans la zone euro, où la politique budgétaire reste à la d</w:t>
      </w:r>
      <w:r w:rsidR="00674031" w:rsidRPr="00E22C25">
        <w:rPr>
          <w:rFonts w:ascii="Arial" w:hAnsi="Arial" w:cs="Arial"/>
          <w:sz w:val="20"/>
          <w:szCs w:val="20"/>
        </w:rPr>
        <w:t>iscrétion de chaque État membre.</w:t>
      </w:r>
      <w:r w:rsidRPr="00E22C25">
        <w:rPr>
          <w:rFonts w:ascii="Arial" w:hAnsi="Arial" w:cs="Arial"/>
          <w:sz w:val="20"/>
          <w:szCs w:val="20"/>
        </w:rPr>
        <w:t xml:space="preserve"> Si le plan d'action de la BCE n'est pas modifié, l'institut de Francfort devrait injecter dans l'économie un total de 1460 milliards d'euros en deux ans, sachant qu'un potentiel de 7 000 milliards d'euros de dettes souver</w:t>
      </w:r>
      <w:r w:rsidR="00AE2EB4" w:rsidRPr="00E22C25">
        <w:rPr>
          <w:rFonts w:ascii="Arial" w:hAnsi="Arial" w:cs="Arial"/>
          <w:sz w:val="20"/>
          <w:szCs w:val="20"/>
        </w:rPr>
        <w:t>aines circule dans la zone euro.</w:t>
      </w:r>
    </w:p>
    <w:p w:rsidR="0003696B" w:rsidRPr="00697A97" w:rsidRDefault="0003696B" w:rsidP="0003696B">
      <w:pPr>
        <w:spacing w:after="0" w:line="240" w:lineRule="auto"/>
        <w:jc w:val="both"/>
        <w:rPr>
          <w:rFonts w:ascii="Arial" w:hAnsi="Arial" w:cs="Arial"/>
          <w:sz w:val="8"/>
          <w:szCs w:val="8"/>
        </w:rPr>
      </w:pPr>
    </w:p>
    <w:p w:rsidR="00674031" w:rsidRPr="0003696B" w:rsidRDefault="00AE2EB4" w:rsidP="00697A97">
      <w:pPr>
        <w:spacing w:after="60" w:line="240" w:lineRule="auto"/>
        <w:jc w:val="both"/>
        <w:rPr>
          <w:rFonts w:ascii="Arial" w:hAnsi="Arial" w:cs="Arial"/>
          <w:bCs/>
          <w:sz w:val="20"/>
          <w:szCs w:val="20"/>
        </w:rPr>
      </w:pPr>
      <w:r w:rsidRPr="0003696B">
        <w:rPr>
          <w:rFonts w:ascii="Arial" w:hAnsi="Arial" w:cs="Arial"/>
          <w:sz w:val="20"/>
          <w:szCs w:val="20"/>
        </w:rPr>
        <w:t xml:space="preserve">&gt; </w:t>
      </w:r>
      <w:r w:rsidRPr="0003696B">
        <w:rPr>
          <w:rFonts w:ascii="Arial" w:hAnsi="Arial" w:cs="Arial"/>
          <w:bCs/>
          <w:sz w:val="20"/>
          <w:szCs w:val="20"/>
        </w:rPr>
        <w:t xml:space="preserve">Quels sont les risques? </w:t>
      </w:r>
    </w:p>
    <w:p w:rsidR="00AE2EB4" w:rsidRPr="00E22C25" w:rsidRDefault="00AE2EB4" w:rsidP="0003696B">
      <w:pPr>
        <w:spacing w:after="0" w:line="240" w:lineRule="auto"/>
        <w:jc w:val="both"/>
        <w:rPr>
          <w:rFonts w:ascii="Arial" w:hAnsi="Arial" w:cs="Arial"/>
          <w:sz w:val="20"/>
          <w:szCs w:val="20"/>
        </w:rPr>
      </w:pPr>
      <w:r w:rsidRPr="00E22C25">
        <w:rPr>
          <w:rFonts w:ascii="Arial" w:hAnsi="Arial" w:cs="Arial"/>
          <w:sz w:val="20"/>
          <w:szCs w:val="20"/>
        </w:rPr>
        <w:t xml:space="preserve">Pour que les pays de la zone euro acceptent de faire tourner cette nouvelle planche à billets -l'Allemagne se montrait particulièrement réticente -, </w:t>
      </w:r>
      <w:r w:rsidR="00674031" w:rsidRPr="00E22C25">
        <w:rPr>
          <w:rFonts w:ascii="Arial" w:hAnsi="Arial" w:cs="Arial"/>
          <w:sz w:val="20"/>
          <w:szCs w:val="20"/>
        </w:rPr>
        <w:t xml:space="preserve"> la BC</w:t>
      </w:r>
      <w:r w:rsidRPr="00E22C25">
        <w:rPr>
          <w:rFonts w:ascii="Arial" w:hAnsi="Arial" w:cs="Arial"/>
          <w:sz w:val="20"/>
          <w:szCs w:val="20"/>
        </w:rPr>
        <w:t>E s'engage à racheter les titres des États membres en proportion de la part de capital qu'ils détiennent dans la banque centrale. Ainsi, des pays comme l'Allemagne et la France se</w:t>
      </w:r>
      <w:r w:rsidR="00674031" w:rsidRPr="00E22C25">
        <w:rPr>
          <w:rFonts w:ascii="Arial" w:hAnsi="Arial" w:cs="Arial"/>
          <w:sz w:val="20"/>
          <w:szCs w:val="20"/>
        </w:rPr>
        <w:t xml:space="preserve"> </w:t>
      </w:r>
      <w:r w:rsidRPr="00E22C25">
        <w:rPr>
          <w:rFonts w:ascii="Arial" w:hAnsi="Arial" w:cs="Arial"/>
          <w:sz w:val="20"/>
          <w:szCs w:val="20"/>
        </w:rPr>
        <w:t xml:space="preserve">retrouvent avantagés par rapport à des États comme l'Espagne et le Portugal. Le QE ne bénéficie donc pas de la même façon à tous les pays de la zone euro. </w:t>
      </w:r>
    </w:p>
    <w:p w:rsidR="00AE2EB4" w:rsidRPr="00E22C25" w:rsidRDefault="00AE2EB4" w:rsidP="0003696B">
      <w:pPr>
        <w:spacing w:after="0" w:line="240" w:lineRule="auto"/>
        <w:jc w:val="both"/>
        <w:rPr>
          <w:rFonts w:ascii="Arial" w:hAnsi="Arial" w:cs="Arial"/>
          <w:sz w:val="20"/>
          <w:szCs w:val="20"/>
        </w:rPr>
      </w:pPr>
      <w:r w:rsidRPr="00E22C25">
        <w:rPr>
          <w:rFonts w:ascii="Arial" w:hAnsi="Arial" w:cs="Arial"/>
          <w:sz w:val="20"/>
          <w:szCs w:val="20"/>
        </w:rPr>
        <w:t>Le QE remplit également une autre fonction : celle de rassurer les marchés financiers en soutenant la valeur de certains actifs, notamment les obligations. En France, l'année 2015 a été relativement satisfaisante, l'indice boursier flirtant avec la barre symbolique des 5 000 points à de nombreuses reprises. Une politique accommodante vis-à-vis des investisseurs financiers, qui pourrait favoriser la formation de bulles spéculatives et déboucher sur une nouvelle crise financière.</w:t>
      </w:r>
    </w:p>
    <w:p w:rsidR="00FD5931" w:rsidRPr="00697A97" w:rsidRDefault="00FD5931" w:rsidP="00697A97">
      <w:pPr>
        <w:spacing w:after="0" w:line="240" w:lineRule="auto"/>
        <w:jc w:val="both"/>
        <w:rPr>
          <w:rFonts w:ascii="Arial" w:hAnsi="Arial" w:cs="Arial"/>
          <w:i/>
          <w:sz w:val="8"/>
          <w:szCs w:val="8"/>
        </w:rPr>
      </w:pPr>
    </w:p>
    <w:p w:rsidR="001D7CEC" w:rsidRDefault="00BF6032" w:rsidP="00697A97">
      <w:pPr>
        <w:spacing w:line="240" w:lineRule="auto"/>
        <w:ind w:left="567"/>
        <w:jc w:val="right"/>
        <w:rPr>
          <w:rFonts w:ascii="Arial" w:hAnsi="Arial" w:cs="Arial"/>
          <w:sz w:val="20"/>
          <w:szCs w:val="20"/>
        </w:rPr>
      </w:pPr>
      <w:r>
        <w:rPr>
          <w:rFonts w:ascii="Arial" w:hAnsi="Arial" w:cs="Arial"/>
          <w:i/>
          <w:sz w:val="20"/>
          <w:szCs w:val="20"/>
        </w:rPr>
        <w:t xml:space="preserve">Le quantitative </w:t>
      </w:r>
      <w:proofErr w:type="spellStart"/>
      <w:r>
        <w:rPr>
          <w:rFonts w:ascii="Arial" w:hAnsi="Arial" w:cs="Arial"/>
          <w:i/>
          <w:sz w:val="20"/>
          <w:szCs w:val="20"/>
        </w:rPr>
        <w:t>easing</w:t>
      </w:r>
      <w:proofErr w:type="spellEnd"/>
      <w:r>
        <w:rPr>
          <w:rFonts w:ascii="Arial" w:hAnsi="Arial" w:cs="Arial"/>
          <w:i/>
          <w:sz w:val="20"/>
          <w:szCs w:val="20"/>
        </w:rPr>
        <w:t> : effets et limites</w:t>
      </w:r>
      <w:r>
        <w:rPr>
          <w:rFonts w:ascii="Arial" w:hAnsi="Arial" w:cs="Arial"/>
          <w:sz w:val="20"/>
          <w:szCs w:val="20"/>
        </w:rPr>
        <w:t xml:space="preserve">, </w:t>
      </w:r>
      <w:r w:rsidRPr="00BF6032">
        <w:rPr>
          <w:rFonts w:ascii="Arial" w:hAnsi="Arial" w:cs="Arial"/>
          <w:sz w:val="20"/>
          <w:szCs w:val="20"/>
        </w:rPr>
        <w:t xml:space="preserve">in </w:t>
      </w:r>
      <w:r w:rsidRPr="00BF6032">
        <w:rPr>
          <w:rFonts w:ascii="Arial" w:hAnsi="Arial" w:cs="Arial"/>
          <w:i/>
          <w:sz w:val="20"/>
          <w:szCs w:val="20"/>
        </w:rPr>
        <w:t>Le nouveau rôle des banques centrales,</w:t>
      </w:r>
      <w:r w:rsidRPr="00BF6032">
        <w:rPr>
          <w:rFonts w:ascii="Arial" w:hAnsi="Arial" w:cs="Arial"/>
          <w:sz w:val="20"/>
          <w:szCs w:val="20"/>
        </w:rPr>
        <w:t xml:space="preserve"> Problèmes économiques 3126, La documentation française 02/2016</w:t>
      </w:r>
    </w:p>
    <w:p w:rsidR="00B71208" w:rsidRPr="00E22C25" w:rsidRDefault="00B71208" w:rsidP="00697A97">
      <w:pPr>
        <w:spacing w:line="240" w:lineRule="auto"/>
        <w:ind w:left="567"/>
        <w:jc w:val="right"/>
        <w:rPr>
          <w:rFonts w:ascii="Arial" w:hAnsi="Arial" w:cs="Arial"/>
          <w:sz w:val="20"/>
          <w:szCs w:val="20"/>
        </w:rPr>
      </w:pPr>
    </w:p>
    <w:p w:rsidR="00D91216" w:rsidRPr="0003696B" w:rsidRDefault="00D91216" w:rsidP="0003696B">
      <w:pPr>
        <w:spacing w:line="240" w:lineRule="auto"/>
        <w:jc w:val="center"/>
        <w:rPr>
          <w:rFonts w:ascii="Arial" w:hAnsi="Arial" w:cs="Arial"/>
          <w:b/>
          <w:sz w:val="28"/>
          <w:szCs w:val="28"/>
        </w:rPr>
      </w:pPr>
      <w:r w:rsidRPr="0003696B">
        <w:rPr>
          <w:rFonts w:ascii="Arial" w:hAnsi="Arial" w:cs="Arial"/>
          <w:b/>
          <w:sz w:val="28"/>
          <w:szCs w:val="28"/>
        </w:rPr>
        <w:t xml:space="preserve">2.3 </w:t>
      </w:r>
      <w:r w:rsidR="00931140" w:rsidRPr="0003696B">
        <w:rPr>
          <w:rFonts w:ascii="Arial" w:hAnsi="Arial" w:cs="Arial"/>
          <w:b/>
          <w:sz w:val="28"/>
          <w:szCs w:val="28"/>
        </w:rPr>
        <w:t xml:space="preserve">La question des </w:t>
      </w:r>
      <w:r w:rsidR="00C92567" w:rsidRPr="0003696B">
        <w:rPr>
          <w:rFonts w:ascii="Arial" w:hAnsi="Arial" w:cs="Arial"/>
          <w:b/>
          <w:sz w:val="28"/>
          <w:szCs w:val="28"/>
        </w:rPr>
        <w:t>coordinations</w:t>
      </w:r>
      <w:r w:rsidR="00C92567">
        <w:rPr>
          <w:rFonts w:ascii="Arial" w:hAnsi="Arial" w:cs="Arial"/>
          <w:b/>
          <w:sz w:val="28"/>
          <w:szCs w:val="28"/>
        </w:rPr>
        <w:t xml:space="preserve"> </w:t>
      </w:r>
      <w:r w:rsidR="00C92567" w:rsidRPr="0003696B">
        <w:rPr>
          <w:rFonts w:ascii="Arial" w:hAnsi="Arial" w:cs="Arial"/>
          <w:b/>
          <w:sz w:val="28"/>
          <w:szCs w:val="28"/>
        </w:rPr>
        <w:t>:</w:t>
      </w:r>
      <w:r w:rsidR="00931140" w:rsidRPr="0003696B">
        <w:rPr>
          <w:rFonts w:ascii="Arial" w:hAnsi="Arial" w:cs="Arial"/>
          <w:b/>
          <w:sz w:val="28"/>
          <w:szCs w:val="28"/>
        </w:rPr>
        <w:t xml:space="preserve"> politique</w:t>
      </w:r>
      <w:r w:rsidR="0003696B">
        <w:rPr>
          <w:rFonts w:ascii="Arial" w:hAnsi="Arial" w:cs="Arial"/>
          <w:b/>
          <w:sz w:val="28"/>
          <w:szCs w:val="28"/>
        </w:rPr>
        <w:t xml:space="preserve">s </w:t>
      </w:r>
      <w:r w:rsidR="00931140" w:rsidRPr="0003696B">
        <w:rPr>
          <w:rFonts w:ascii="Arial" w:hAnsi="Arial" w:cs="Arial"/>
          <w:b/>
          <w:sz w:val="28"/>
          <w:szCs w:val="28"/>
        </w:rPr>
        <w:t>budgétaire/monétaire, politique</w:t>
      </w:r>
      <w:r w:rsidR="0003696B">
        <w:rPr>
          <w:rFonts w:ascii="Arial" w:hAnsi="Arial" w:cs="Arial"/>
          <w:b/>
          <w:sz w:val="28"/>
          <w:szCs w:val="28"/>
        </w:rPr>
        <w:t xml:space="preserve">s monétaire/politique prudentielle, politique monétaire entre </w:t>
      </w:r>
      <w:r w:rsidR="00931140" w:rsidRPr="0003696B">
        <w:rPr>
          <w:rFonts w:ascii="Arial" w:hAnsi="Arial" w:cs="Arial"/>
          <w:b/>
          <w:sz w:val="28"/>
          <w:szCs w:val="28"/>
        </w:rPr>
        <w:t>les banques centrales</w:t>
      </w:r>
    </w:p>
    <w:p w:rsidR="00C92567" w:rsidRPr="00B71208" w:rsidRDefault="00C92567" w:rsidP="004F29C7">
      <w:pPr>
        <w:spacing w:line="240" w:lineRule="auto"/>
        <w:jc w:val="both"/>
        <w:rPr>
          <w:rFonts w:ascii="Arial" w:hAnsi="Arial" w:cs="Arial"/>
          <w:b/>
          <w:sz w:val="8"/>
          <w:szCs w:val="8"/>
          <w:u w:val="single"/>
        </w:rPr>
      </w:pPr>
    </w:p>
    <w:p w:rsidR="001D0525" w:rsidRPr="0003696B" w:rsidRDefault="0003696B" w:rsidP="004F29C7">
      <w:pPr>
        <w:spacing w:line="240" w:lineRule="auto"/>
        <w:jc w:val="both"/>
        <w:rPr>
          <w:rFonts w:ascii="Arial" w:hAnsi="Arial" w:cs="Arial"/>
          <w:b/>
          <w:sz w:val="20"/>
          <w:szCs w:val="20"/>
          <w:u w:val="single"/>
        </w:rPr>
      </w:pPr>
      <w:r w:rsidRPr="0003696B">
        <w:rPr>
          <w:rFonts w:ascii="Arial" w:hAnsi="Arial" w:cs="Arial"/>
          <w:b/>
          <w:sz w:val="20"/>
          <w:szCs w:val="20"/>
          <w:u w:val="single"/>
        </w:rPr>
        <w:t>Doc</w:t>
      </w:r>
      <w:r w:rsidR="001655A8">
        <w:rPr>
          <w:rFonts w:ascii="Arial" w:hAnsi="Arial" w:cs="Arial"/>
          <w:b/>
          <w:sz w:val="20"/>
          <w:szCs w:val="20"/>
          <w:u w:val="single"/>
        </w:rPr>
        <w:t>ument 30</w:t>
      </w:r>
      <w:r w:rsidRPr="0003696B">
        <w:rPr>
          <w:rFonts w:ascii="Arial" w:hAnsi="Arial" w:cs="Arial"/>
          <w:b/>
          <w:sz w:val="20"/>
          <w:szCs w:val="20"/>
          <w:u w:val="single"/>
        </w:rPr>
        <w:t xml:space="preserve"> : </w:t>
      </w:r>
      <w:r w:rsidR="00D2555F" w:rsidRPr="0003696B">
        <w:rPr>
          <w:rFonts w:ascii="Arial" w:hAnsi="Arial" w:cs="Arial"/>
          <w:b/>
          <w:sz w:val="20"/>
          <w:szCs w:val="20"/>
          <w:u w:val="single"/>
        </w:rPr>
        <w:t>les effets pervers de la politique monétaire expansionniste sur la stabilité financière</w:t>
      </w:r>
      <w:r w:rsidR="001D0525" w:rsidRPr="0003696B">
        <w:rPr>
          <w:rFonts w:ascii="Arial" w:hAnsi="Arial" w:cs="Arial"/>
          <w:b/>
          <w:sz w:val="20"/>
          <w:szCs w:val="20"/>
          <w:u w:val="single"/>
        </w:rPr>
        <w:t xml:space="preserve"> : </w:t>
      </w:r>
    </w:p>
    <w:p w:rsidR="00D91216" w:rsidRPr="0003696B" w:rsidRDefault="001D0525" w:rsidP="004F29C7">
      <w:pPr>
        <w:spacing w:after="0" w:line="240" w:lineRule="auto"/>
        <w:jc w:val="both"/>
        <w:rPr>
          <w:rFonts w:ascii="Arial" w:hAnsi="Arial" w:cs="Arial"/>
          <w:sz w:val="20"/>
          <w:szCs w:val="20"/>
        </w:rPr>
      </w:pPr>
      <w:r w:rsidRPr="0003696B">
        <w:rPr>
          <w:rFonts w:ascii="Arial" w:hAnsi="Arial" w:cs="Arial"/>
          <w:sz w:val="20"/>
          <w:szCs w:val="20"/>
        </w:rPr>
        <w:sym w:font="Wingdings" w:char="F0E8"/>
      </w:r>
      <w:r w:rsidRPr="0003696B">
        <w:rPr>
          <w:rFonts w:ascii="Arial" w:hAnsi="Arial" w:cs="Arial"/>
          <w:sz w:val="20"/>
          <w:szCs w:val="20"/>
        </w:rPr>
        <w:t xml:space="preserve"> la hausse du prix des actifs et de l’immobilier</w:t>
      </w:r>
    </w:p>
    <w:p w:rsidR="0014159C" w:rsidRPr="00E22C25" w:rsidRDefault="0014159C" w:rsidP="004F29C7">
      <w:pPr>
        <w:spacing w:after="0" w:line="240" w:lineRule="auto"/>
        <w:jc w:val="both"/>
        <w:rPr>
          <w:rFonts w:ascii="Arial" w:hAnsi="Arial" w:cs="Arial"/>
          <w:sz w:val="20"/>
          <w:szCs w:val="20"/>
        </w:rPr>
      </w:pPr>
      <w:r w:rsidRPr="00E22C25">
        <w:rPr>
          <w:rFonts w:ascii="Arial" w:hAnsi="Arial" w:cs="Arial"/>
          <w:sz w:val="20"/>
          <w:szCs w:val="20"/>
        </w:rPr>
        <w:t>Premier indice éloquent de cette menace: les bulles sur les prix d'actifs sont de retour. La politique laxiste menée par les banquiers centraux n'a pas fait reve</w:t>
      </w:r>
      <w:r w:rsidRPr="00E22C25">
        <w:rPr>
          <w:rFonts w:ascii="Arial" w:hAnsi="Arial" w:cs="Arial"/>
          <w:sz w:val="20"/>
          <w:szCs w:val="20"/>
        </w:rPr>
        <w:softHyphen/>
        <w:t>nir l'inflation au sens traditionnel du terme, c'est-</w:t>
      </w:r>
      <w:r w:rsidRPr="00E22C25">
        <w:rPr>
          <w:rFonts w:ascii="Arial" w:hAnsi="Arial" w:cs="Arial"/>
          <w:sz w:val="20"/>
          <w:szCs w:val="20"/>
        </w:rPr>
        <w:softHyphen/>
        <w:t xml:space="preserve">à-dire celle des salaires ou des biens et services, mais elle a nourri l'inflation des prix des actifs. C'est la nouveauté radicale de la période récente. </w:t>
      </w:r>
    </w:p>
    <w:p w:rsidR="0014159C" w:rsidRPr="00E22C25" w:rsidRDefault="0014159C" w:rsidP="004F29C7">
      <w:pPr>
        <w:spacing w:after="0" w:line="240" w:lineRule="auto"/>
        <w:jc w:val="both"/>
        <w:rPr>
          <w:rFonts w:ascii="Arial" w:hAnsi="Arial" w:cs="Arial"/>
          <w:sz w:val="20"/>
          <w:szCs w:val="20"/>
        </w:rPr>
      </w:pPr>
      <w:r w:rsidRPr="00E22C25">
        <w:rPr>
          <w:rFonts w:ascii="Arial" w:hAnsi="Arial" w:cs="Arial"/>
          <w:sz w:val="20"/>
          <w:szCs w:val="20"/>
        </w:rPr>
        <w:t xml:space="preserve">On l'a dit, les motivations d'une banque centrale qui met en place un programme de </w:t>
      </w:r>
      <w:r w:rsidRPr="00E22C25">
        <w:rPr>
          <w:rFonts w:ascii="Arial" w:hAnsi="Arial" w:cs="Arial"/>
          <w:i/>
          <w:iCs/>
          <w:sz w:val="20"/>
          <w:szCs w:val="20"/>
        </w:rPr>
        <w:t xml:space="preserve">Quantitative </w:t>
      </w:r>
      <w:proofErr w:type="spellStart"/>
      <w:r w:rsidRPr="00E22C25">
        <w:rPr>
          <w:rFonts w:ascii="Arial" w:hAnsi="Arial" w:cs="Arial"/>
          <w:i/>
          <w:iCs/>
          <w:sz w:val="20"/>
          <w:szCs w:val="20"/>
        </w:rPr>
        <w:t>Easing</w:t>
      </w:r>
      <w:proofErr w:type="spellEnd"/>
      <w:r w:rsidRPr="00E22C25">
        <w:rPr>
          <w:rFonts w:ascii="Arial" w:hAnsi="Arial" w:cs="Arial"/>
          <w:i/>
          <w:iCs/>
          <w:sz w:val="20"/>
          <w:szCs w:val="20"/>
        </w:rPr>
        <w:t xml:space="preserve"> </w:t>
      </w:r>
      <w:r w:rsidRPr="00E22C25">
        <w:rPr>
          <w:rFonts w:ascii="Arial" w:hAnsi="Arial" w:cs="Arial"/>
          <w:sz w:val="20"/>
          <w:szCs w:val="20"/>
        </w:rPr>
        <w:t>peuvent être diverses. D'abord, accroître la liquidité des banques en espérant faire repartir le crédit, ce qui n'a pas jusqu'à maintenant été très effi</w:t>
      </w:r>
      <w:r w:rsidRPr="00E22C25">
        <w:rPr>
          <w:rFonts w:ascii="Arial" w:hAnsi="Arial" w:cs="Arial"/>
          <w:sz w:val="20"/>
          <w:szCs w:val="20"/>
        </w:rPr>
        <w:softHyphen/>
        <w:t xml:space="preserve">cace (à l'automne 2015, on ne voyait qu'une modeste reprise du crédit aux entreprises aux États-Unis et une reprise globale du crédit encore plus modeste en  zone euro). Mais aussi faire monter les prix des actifs afin de soutenir la demande </w:t>
      </w:r>
      <w:r w:rsidRPr="00E22C25">
        <w:rPr>
          <w:rFonts w:ascii="Arial" w:hAnsi="Arial" w:cs="Arial"/>
          <w:i/>
          <w:iCs/>
          <w:sz w:val="20"/>
          <w:szCs w:val="20"/>
        </w:rPr>
        <w:t xml:space="preserve">via </w:t>
      </w:r>
      <w:r w:rsidRPr="00E22C25">
        <w:rPr>
          <w:rFonts w:ascii="Arial" w:hAnsi="Arial" w:cs="Arial"/>
          <w:sz w:val="20"/>
          <w:szCs w:val="20"/>
        </w:rPr>
        <w:t xml:space="preserve">les effets de richesse, cc qui s'est effectivement produit aux États-Unis, au Royaume-Uni et au Japon (en revanche, les effets de richesse sont toujours très limités en zone euro en raison de la quasi-inexistence des fonds de pension investis en actifs financiers). </w:t>
      </w:r>
    </w:p>
    <w:p w:rsidR="0014159C" w:rsidRPr="00E22C25" w:rsidRDefault="0014159C" w:rsidP="004F29C7">
      <w:pPr>
        <w:spacing w:after="0" w:line="240" w:lineRule="auto"/>
        <w:jc w:val="both"/>
        <w:rPr>
          <w:rFonts w:ascii="Arial" w:hAnsi="Arial" w:cs="Arial"/>
          <w:sz w:val="20"/>
          <w:szCs w:val="20"/>
        </w:rPr>
      </w:pPr>
      <w:r w:rsidRPr="00E22C25">
        <w:rPr>
          <w:rFonts w:ascii="Arial" w:hAnsi="Arial" w:cs="Arial"/>
          <w:sz w:val="20"/>
          <w:szCs w:val="20"/>
        </w:rPr>
        <w:t xml:space="preserve">Le </w:t>
      </w:r>
      <w:r w:rsidRPr="00E22C25">
        <w:rPr>
          <w:rFonts w:ascii="Arial" w:hAnsi="Arial" w:cs="Arial"/>
          <w:i/>
          <w:iCs/>
          <w:sz w:val="20"/>
          <w:szCs w:val="20"/>
        </w:rPr>
        <w:t xml:space="preserve">QE </w:t>
      </w:r>
      <w:r w:rsidRPr="00E22C25">
        <w:rPr>
          <w:rFonts w:ascii="Arial" w:hAnsi="Arial" w:cs="Arial"/>
          <w:sz w:val="20"/>
          <w:szCs w:val="20"/>
        </w:rPr>
        <w:t>fabrique en effet la hausse des prix d'ac</w:t>
      </w:r>
      <w:r w:rsidRPr="00E22C25">
        <w:rPr>
          <w:rFonts w:ascii="Arial" w:hAnsi="Arial" w:cs="Arial"/>
          <w:sz w:val="20"/>
          <w:szCs w:val="20"/>
        </w:rPr>
        <w:softHyphen/>
        <w:t>tifs. La banque centrale achète directement des actifs (surtout des obligations), ce qui fait monter leur prix (donc baisser les taux d'intérêt à long terme). Quant aux institutions financières qui vendent ces obligations à la banque centrale, elles reçoivent de la monnaie en échange et rééquilibrent leurs porte</w:t>
      </w:r>
      <w:r w:rsidRPr="00E22C25">
        <w:rPr>
          <w:rFonts w:ascii="Arial" w:hAnsi="Arial" w:cs="Arial"/>
          <w:sz w:val="20"/>
          <w:szCs w:val="20"/>
        </w:rPr>
        <w:softHyphen/>
        <w:t>feuilles en achetant d'autres actifs, notamment des actions, ce qui fait aussi monter leur prix. En réalité, les banques centrales se servent de ces bulles sur les prix des actifs, notamment des actions et de l'immo</w:t>
      </w:r>
      <w:r w:rsidRPr="00E22C25">
        <w:rPr>
          <w:rFonts w:ascii="Arial" w:hAnsi="Arial" w:cs="Arial"/>
          <w:sz w:val="20"/>
          <w:szCs w:val="20"/>
        </w:rPr>
        <w:softHyphen/>
        <w:t>bilier, comme d'un instrument de la politique moné</w:t>
      </w:r>
      <w:r w:rsidRPr="00E22C25">
        <w:rPr>
          <w:rFonts w:ascii="Arial" w:hAnsi="Arial" w:cs="Arial"/>
          <w:sz w:val="20"/>
          <w:szCs w:val="20"/>
        </w:rPr>
        <w:softHyphen/>
        <w:t>taire afin de faire apparaître les effets de richesse nécessaires à la stimulation de la demande par l'enri</w:t>
      </w:r>
      <w:r w:rsidRPr="00E22C25">
        <w:rPr>
          <w:rFonts w:ascii="Arial" w:hAnsi="Arial" w:cs="Arial"/>
          <w:sz w:val="20"/>
          <w:szCs w:val="20"/>
        </w:rPr>
        <w:softHyphen/>
        <w:t xml:space="preserve">chissement des détenteurs de portefeuilles. </w:t>
      </w:r>
    </w:p>
    <w:p w:rsidR="0014159C" w:rsidRPr="00E22C25" w:rsidRDefault="0014159C" w:rsidP="004F29C7">
      <w:pPr>
        <w:spacing w:after="0" w:line="240" w:lineRule="auto"/>
        <w:jc w:val="both"/>
        <w:rPr>
          <w:rFonts w:ascii="Arial" w:hAnsi="Arial" w:cs="Arial"/>
          <w:sz w:val="20"/>
          <w:szCs w:val="20"/>
        </w:rPr>
      </w:pPr>
      <w:r w:rsidRPr="00E22C25">
        <w:rPr>
          <w:rFonts w:ascii="Arial" w:hAnsi="Arial" w:cs="Arial"/>
          <w:sz w:val="20"/>
          <w:szCs w:val="20"/>
        </w:rPr>
        <w:t xml:space="preserve">Lorsque le </w:t>
      </w:r>
      <w:r w:rsidRPr="00E22C25">
        <w:rPr>
          <w:rFonts w:ascii="Arial" w:hAnsi="Arial" w:cs="Arial"/>
          <w:i/>
          <w:iCs/>
          <w:sz w:val="20"/>
          <w:szCs w:val="20"/>
        </w:rPr>
        <w:t xml:space="preserve">QE </w:t>
      </w:r>
      <w:r w:rsidRPr="00E22C25">
        <w:rPr>
          <w:rFonts w:ascii="Arial" w:hAnsi="Arial" w:cs="Arial"/>
          <w:sz w:val="20"/>
          <w:szCs w:val="20"/>
        </w:rPr>
        <w:t>a été mis en place aux États-Unis, au Royaume-Uni et au Japon, une partie de la liqui</w:t>
      </w:r>
      <w:r w:rsidRPr="00E22C25">
        <w:rPr>
          <w:rFonts w:ascii="Arial" w:hAnsi="Arial" w:cs="Arial"/>
          <w:sz w:val="20"/>
          <w:szCs w:val="20"/>
        </w:rPr>
        <w:softHyphen/>
        <w:t>dité supplémentaire a été investie en actions. […]</w:t>
      </w:r>
    </w:p>
    <w:p w:rsidR="001D0525" w:rsidRPr="00E22C25" w:rsidRDefault="001D0525" w:rsidP="004F29C7">
      <w:pPr>
        <w:spacing w:after="0" w:line="240" w:lineRule="auto"/>
        <w:jc w:val="both"/>
        <w:rPr>
          <w:rFonts w:ascii="Arial" w:hAnsi="Arial" w:cs="Arial"/>
          <w:sz w:val="20"/>
          <w:szCs w:val="20"/>
        </w:rPr>
      </w:pPr>
      <w:r w:rsidRPr="00E22C25">
        <w:rPr>
          <w:rFonts w:ascii="Arial" w:hAnsi="Arial" w:cs="Arial"/>
          <w:sz w:val="20"/>
          <w:szCs w:val="20"/>
        </w:rPr>
        <w:sym w:font="Wingdings" w:char="F0E8"/>
      </w:r>
      <w:r w:rsidRPr="00E22C25">
        <w:rPr>
          <w:rFonts w:ascii="Arial" w:hAnsi="Arial" w:cs="Arial"/>
          <w:sz w:val="20"/>
          <w:szCs w:val="20"/>
        </w:rPr>
        <w:t xml:space="preserve"> aléa moral et apparition d’une bulle spéculative</w:t>
      </w:r>
    </w:p>
    <w:p w:rsidR="0014159C" w:rsidRPr="00E22C25" w:rsidRDefault="0014159C" w:rsidP="004F29C7">
      <w:pPr>
        <w:spacing w:after="0" w:line="240" w:lineRule="auto"/>
        <w:jc w:val="both"/>
        <w:rPr>
          <w:rFonts w:ascii="Arial" w:hAnsi="Arial" w:cs="Arial"/>
          <w:sz w:val="20"/>
          <w:szCs w:val="20"/>
        </w:rPr>
      </w:pPr>
      <w:r w:rsidRPr="00E22C25">
        <w:rPr>
          <w:rFonts w:ascii="Arial" w:hAnsi="Arial" w:cs="Arial"/>
          <w:sz w:val="20"/>
          <w:szCs w:val="20"/>
        </w:rPr>
        <w:t>Que les banques centrales souhaitent compen</w:t>
      </w:r>
      <w:r w:rsidRPr="00E22C25">
        <w:rPr>
          <w:rFonts w:ascii="Arial" w:hAnsi="Arial" w:cs="Arial"/>
          <w:sz w:val="20"/>
          <w:szCs w:val="20"/>
        </w:rPr>
        <w:softHyphen/>
        <w:t>ser une demande trop faible en raison du manque de pouvoir d'achat des revenus salariaux par une expansion ininterrompue du crédit et des revenus non salariaux n'est pas surprenant. La manœuvre est toutefois périlleuse, car la hausse des cours boursiers obtenue dans ces conditions crée ce que l'on appelle dans le jargon des économistes un « aléa de mora</w:t>
      </w:r>
      <w:r w:rsidRPr="00E22C25">
        <w:rPr>
          <w:rFonts w:ascii="Arial" w:hAnsi="Arial" w:cs="Arial"/>
          <w:sz w:val="20"/>
          <w:szCs w:val="20"/>
        </w:rPr>
        <w:softHyphen/>
        <w:t>lité ». Si les investisseurs sont incités à croire que la banque centrale a décidé d'encourager la prise de risque au nom des effets de richesse, les pires excès sont à craindre, car ils se sentent en quelque sorte « assurés» contre les conséquences de leurs compor</w:t>
      </w:r>
      <w:r w:rsidRPr="00E22C25">
        <w:rPr>
          <w:rFonts w:ascii="Arial" w:hAnsi="Arial" w:cs="Arial"/>
          <w:sz w:val="20"/>
          <w:szCs w:val="20"/>
        </w:rPr>
        <w:softHyphen/>
        <w:t xml:space="preserve">tements dès lors que les banques centrales ont fait passer le message que la fête et le feu d'artifice allaient continuer et que l'on ne prendrait personne par surprise. </w:t>
      </w:r>
    </w:p>
    <w:p w:rsidR="0014159C" w:rsidRPr="00E22C25" w:rsidRDefault="0014159C" w:rsidP="004F29C7">
      <w:pPr>
        <w:spacing w:after="0" w:line="240" w:lineRule="auto"/>
        <w:jc w:val="both"/>
        <w:rPr>
          <w:rFonts w:ascii="Arial" w:hAnsi="Arial" w:cs="Arial"/>
          <w:i/>
          <w:iCs/>
          <w:sz w:val="20"/>
          <w:szCs w:val="20"/>
        </w:rPr>
      </w:pPr>
      <w:r w:rsidRPr="00E22C25">
        <w:rPr>
          <w:rFonts w:ascii="Arial" w:hAnsi="Arial" w:cs="Arial"/>
          <w:sz w:val="20"/>
          <w:szCs w:val="20"/>
        </w:rPr>
        <w:lastRenderedPageBreak/>
        <w:t xml:space="preserve">Les investisseurs adorent croire que la banque centrale les « assure » gratuitement contre la baisse du prix d'un actif. C'est ce que l'on a appelé en son temps le </w:t>
      </w:r>
      <w:r w:rsidRPr="00E22C25">
        <w:rPr>
          <w:rFonts w:ascii="Arial" w:hAnsi="Arial" w:cs="Arial"/>
          <w:i/>
          <w:iCs/>
          <w:sz w:val="20"/>
          <w:szCs w:val="20"/>
        </w:rPr>
        <w:t xml:space="preserve">Greenspan put, </w:t>
      </w:r>
      <w:r w:rsidRPr="00E22C25">
        <w:rPr>
          <w:rFonts w:ascii="Arial" w:hAnsi="Arial" w:cs="Arial"/>
          <w:sz w:val="20"/>
          <w:szCs w:val="20"/>
        </w:rPr>
        <w:t>un terme utilisé pour décrire les interventions de la Réserve fédérale américaine sous la présidence d'Alan Greenspan (1987-2006). En cas de recul des cours boursiers, la Fed intervenait pour assouplir la politique monétaire (en baissant les taux ou en injectant des liquidités) afin de soutenir les prix des actifs. Dit autrement, en intervenant systé</w:t>
      </w:r>
      <w:r w:rsidRPr="00E22C25">
        <w:rPr>
          <w:rFonts w:ascii="Arial" w:hAnsi="Arial" w:cs="Arial"/>
          <w:sz w:val="20"/>
          <w:szCs w:val="20"/>
        </w:rPr>
        <w:softHyphen/>
        <w:t>matiquement, la banque centrale limitait la baisse du cours des actions, créant ainsi pour les investisseurs une opportunité de vendre à un prix supérieur à celui qui aurait prévalu sans son intervention. En consé</w:t>
      </w:r>
      <w:r w:rsidRPr="00E22C25">
        <w:rPr>
          <w:rFonts w:ascii="Arial" w:hAnsi="Arial" w:cs="Arial"/>
          <w:sz w:val="20"/>
          <w:szCs w:val="20"/>
        </w:rPr>
        <w:softHyphen/>
        <w:t xml:space="preserve">quence, le potentiel à la baisse était limité quand le potentiel à la hausse ne l'était pas (d'où la référence au terme </w:t>
      </w:r>
      <w:r w:rsidRPr="00E22C25">
        <w:rPr>
          <w:rFonts w:ascii="Arial" w:hAnsi="Arial" w:cs="Arial"/>
          <w:i/>
          <w:iCs/>
          <w:sz w:val="20"/>
          <w:szCs w:val="20"/>
        </w:rPr>
        <w:t xml:space="preserve">put). </w:t>
      </w:r>
    </w:p>
    <w:p w:rsidR="0014159C" w:rsidRPr="00E22C25" w:rsidRDefault="0014159C" w:rsidP="004F29C7">
      <w:pPr>
        <w:spacing w:after="0" w:line="240" w:lineRule="auto"/>
        <w:jc w:val="both"/>
        <w:rPr>
          <w:rFonts w:ascii="Arial" w:hAnsi="Arial" w:cs="Arial"/>
          <w:sz w:val="20"/>
          <w:szCs w:val="20"/>
        </w:rPr>
      </w:pPr>
      <w:r w:rsidRPr="00E22C25">
        <w:rPr>
          <w:rFonts w:ascii="Arial" w:hAnsi="Arial" w:cs="Arial"/>
          <w:sz w:val="20"/>
          <w:szCs w:val="20"/>
        </w:rPr>
        <w:t xml:space="preserve">En finance, on parle d'une option </w:t>
      </w:r>
      <w:r w:rsidRPr="00E22C25">
        <w:rPr>
          <w:rFonts w:ascii="Arial" w:hAnsi="Arial" w:cs="Arial"/>
          <w:i/>
          <w:iCs/>
          <w:sz w:val="20"/>
          <w:szCs w:val="20"/>
        </w:rPr>
        <w:t xml:space="preserve">put </w:t>
      </w:r>
      <w:r w:rsidRPr="00E22C25">
        <w:rPr>
          <w:rFonts w:ascii="Arial" w:hAnsi="Arial" w:cs="Arial"/>
          <w:sz w:val="20"/>
          <w:szCs w:val="20"/>
        </w:rPr>
        <w:t>pour dési</w:t>
      </w:r>
      <w:r w:rsidRPr="00E22C25">
        <w:rPr>
          <w:rFonts w:ascii="Arial" w:hAnsi="Arial" w:cs="Arial"/>
          <w:sz w:val="20"/>
          <w:szCs w:val="20"/>
        </w:rPr>
        <w:softHyphen/>
        <w:t xml:space="preserve">gner une option de vente qui peut être exercée si le prix de l'actif dont il est question dans le contrat descend sous un seuil donné et fixé à l'avance. Un </w:t>
      </w:r>
      <w:r w:rsidRPr="00E22C25">
        <w:rPr>
          <w:rFonts w:ascii="Arial" w:hAnsi="Arial" w:cs="Arial"/>
          <w:i/>
          <w:iCs/>
          <w:sz w:val="20"/>
          <w:szCs w:val="20"/>
        </w:rPr>
        <w:t xml:space="preserve">put </w:t>
      </w:r>
      <w:r w:rsidRPr="00E22C25">
        <w:rPr>
          <w:rFonts w:ascii="Arial" w:hAnsi="Arial" w:cs="Arial"/>
          <w:sz w:val="20"/>
          <w:szCs w:val="20"/>
        </w:rPr>
        <w:t>est donc par extension une assurance contre la baisse du prix d'un actif qui est, dans ce qui nous inté</w:t>
      </w:r>
      <w:r w:rsidRPr="00E22C25">
        <w:rPr>
          <w:rFonts w:ascii="Arial" w:hAnsi="Arial" w:cs="Arial"/>
          <w:sz w:val="20"/>
          <w:szCs w:val="20"/>
        </w:rPr>
        <w:softHyphen/>
        <w:t>resse ici, non pas achetée sur le marché (des options), mais offerte gracieusement par la banque centrale. […]</w:t>
      </w:r>
    </w:p>
    <w:p w:rsidR="0014159C" w:rsidRPr="00E22C25" w:rsidRDefault="0014159C" w:rsidP="004F29C7">
      <w:pPr>
        <w:spacing w:after="0" w:line="240" w:lineRule="auto"/>
        <w:jc w:val="both"/>
        <w:rPr>
          <w:rFonts w:ascii="Arial" w:hAnsi="Arial" w:cs="Arial"/>
          <w:sz w:val="20"/>
          <w:szCs w:val="20"/>
        </w:rPr>
      </w:pPr>
      <w:r w:rsidRPr="00E22C25">
        <w:rPr>
          <w:rFonts w:ascii="Arial" w:hAnsi="Arial" w:cs="Arial"/>
          <w:sz w:val="20"/>
          <w:szCs w:val="20"/>
        </w:rPr>
        <w:t>Lorsque les investisseurs se mettent à croire en l'exis</w:t>
      </w:r>
      <w:r w:rsidRPr="00E22C25">
        <w:rPr>
          <w:rFonts w:ascii="Arial" w:hAnsi="Arial" w:cs="Arial"/>
          <w:sz w:val="20"/>
          <w:szCs w:val="20"/>
        </w:rPr>
        <w:softHyphen/>
        <w:t xml:space="preserve">tence d'un </w:t>
      </w:r>
      <w:r w:rsidRPr="00E22C25">
        <w:rPr>
          <w:rFonts w:ascii="Arial" w:hAnsi="Arial" w:cs="Arial"/>
          <w:i/>
          <w:iCs/>
          <w:sz w:val="20"/>
          <w:szCs w:val="20"/>
        </w:rPr>
        <w:t xml:space="preserve">put, </w:t>
      </w:r>
      <w:r w:rsidRPr="00E22C25">
        <w:rPr>
          <w:rFonts w:ascii="Arial" w:hAnsi="Arial" w:cs="Arial"/>
          <w:sz w:val="20"/>
          <w:szCs w:val="20"/>
        </w:rPr>
        <w:t>ils achètent donc sans retenue l'actif correspondant, dont le prix va d'ailleurs monter en raison de ces achats mimétiques. La croyance fait bien</w:t>
      </w:r>
      <w:r w:rsidRPr="00E22C25">
        <w:rPr>
          <w:rFonts w:ascii="Arial" w:hAnsi="Arial" w:cs="Arial"/>
          <w:sz w:val="20"/>
          <w:szCs w:val="20"/>
        </w:rPr>
        <w:softHyphen/>
        <w:t xml:space="preserve">tôt apparaître une bulle sur le prix de l'actif concerné. Et comme les investisseurs s'endettent, le cas échéant, pour investir en bourse et suivre le mouvement à la hausse, la formation de la bulle se double vite d'une augmentation de l'endettement encouragée par le niveau très bas des taux d'intérêt. </w:t>
      </w:r>
    </w:p>
    <w:p w:rsidR="0014159C" w:rsidRPr="00E22C25" w:rsidRDefault="0014159C" w:rsidP="004F29C7">
      <w:pPr>
        <w:spacing w:after="0" w:line="240" w:lineRule="auto"/>
        <w:jc w:val="both"/>
        <w:rPr>
          <w:rFonts w:ascii="Arial" w:hAnsi="Arial" w:cs="Arial"/>
          <w:sz w:val="20"/>
          <w:szCs w:val="20"/>
        </w:rPr>
      </w:pPr>
      <w:r w:rsidRPr="00E22C25">
        <w:rPr>
          <w:rFonts w:ascii="Arial" w:hAnsi="Arial" w:cs="Arial"/>
          <w:sz w:val="20"/>
          <w:szCs w:val="20"/>
        </w:rPr>
        <w:t xml:space="preserve">Une fois amorcé le mouvement de hausse, la croyance dans l'existence du </w:t>
      </w:r>
      <w:r w:rsidRPr="00E22C25">
        <w:rPr>
          <w:rFonts w:ascii="Arial" w:hAnsi="Arial" w:cs="Arial"/>
          <w:i/>
          <w:iCs/>
          <w:sz w:val="20"/>
          <w:szCs w:val="20"/>
        </w:rPr>
        <w:t xml:space="preserve">put </w:t>
      </w:r>
      <w:r w:rsidRPr="00E22C25">
        <w:rPr>
          <w:rFonts w:ascii="Arial" w:hAnsi="Arial" w:cs="Arial"/>
          <w:sz w:val="20"/>
          <w:szCs w:val="20"/>
        </w:rPr>
        <w:t>devient de plus en plus néces</w:t>
      </w:r>
      <w:r w:rsidRPr="00E22C25">
        <w:rPr>
          <w:rFonts w:ascii="Arial" w:hAnsi="Arial" w:cs="Arial"/>
          <w:sz w:val="20"/>
          <w:szCs w:val="20"/>
        </w:rPr>
        <w:softHyphen/>
        <w:t xml:space="preserve">saire pour maintenir le flux acheteur. Le </w:t>
      </w:r>
      <w:r w:rsidRPr="00E22C25">
        <w:rPr>
          <w:rFonts w:ascii="Arial" w:hAnsi="Arial" w:cs="Arial"/>
          <w:i/>
          <w:iCs/>
          <w:sz w:val="20"/>
          <w:szCs w:val="20"/>
        </w:rPr>
        <w:t xml:space="preserve">put </w:t>
      </w:r>
      <w:r w:rsidRPr="00E22C25">
        <w:rPr>
          <w:rFonts w:ascii="Arial" w:hAnsi="Arial" w:cs="Arial"/>
          <w:sz w:val="20"/>
          <w:szCs w:val="20"/>
        </w:rPr>
        <w:t xml:space="preserve">est là pour que l'on continue à acheter, pour faire en sorte qu'il n'y ait pas de </w:t>
      </w:r>
      <w:proofErr w:type="spellStart"/>
      <w:r w:rsidRPr="00E22C25">
        <w:rPr>
          <w:rFonts w:ascii="Arial" w:hAnsi="Arial" w:cs="Arial"/>
          <w:i/>
          <w:iCs/>
          <w:sz w:val="20"/>
          <w:szCs w:val="20"/>
        </w:rPr>
        <w:t>run</w:t>
      </w:r>
      <w:proofErr w:type="spellEnd"/>
      <w:r w:rsidRPr="00E22C25">
        <w:rPr>
          <w:rFonts w:ascii="Arial" w:hAnsi="Arial" w:cs="Arial"/>
          <w:i/>
          <w:iCs/>
          <w:sz w:val="20"/>
          <w:szCs w:val="20"/>
        </w:rPr>
        <w:t xml:space="preserve">, </w:t>
      </w:r>
      <w:r w:rsidRPr="00E22C25">
        <w:rPr>
          <w:rFonts w:ascii="Arial" w:hAnsi="Arial" w:cs="Arial"/>
          <w:sz w:val="20"/>
          <w:szCs w:val="20"/>
        </w:rPr>
        <w:t xml:space="preserve">autrement dit de ruée pour exiger la conversion de tous ces actifs financiers en cash. Le </w:t>
      </w:r>
      <w:r w:rsidRPr="00E22C25">
        <w:rPr>
          <w:rFonts w:ascii="Arial" w:hAnsi="Arial" w:cs="Arial"/>
          <w:i/>
          <w:iCs/>
          <w:sz w:val="20"/>
          <w:szCs w:val="20"/>
        </w:rPr>
        <w:t xml:space="preserve">put </w:t>
      </w:r>
      <w:r w:rsidRPr="00E22C25">
        <w:rPr>
          <w:rFonts w:ascii="Arial" w:hAnsi="Arial" w:cs="Arial"/>
          <w:sz w:val="20"/>
          <w:szCs w:val="20"/>
        </w:rPr>
        <w:t xml:space="preserve">est ce qui donne sa cohérence au système mis en place par les banquiers centraux. Mais l'histoire finit toujours de la même manière: lorsque les investisseurs prennent conscience que le </w:t>
      </w:r>
      <w:r w:rsidRPr="00E22C25">
        <w:rPr>
          <w:rFonts w:ascii="Arial" w:hAnsi="Arial" w:cs="Arial"/>
          <w:i/>
          <w:iCs/>
          <w:sz w:val="20"/>
          <w:szCs w:val="20"/>
        </w:rPr>
        <w:t xml:space="preserve">put </w:t>
      </w:r>
      <w:r w:rsidRPr="00E22C25">
        <w:rPr>
          <w:rFonts w:ascii="Arial" w:hAnsi="Arial" w:cs="Arial"/>
          <w:sz w:val="20"/>
          <w:szCs w:val="20"/>
        </w:rPr>
        <w:t>n'existait que dans leur imagina</w:t>
      </w:r>
      <w:r w:rsidRPr="00E22C25">
        <w:rPr>
          <w:rFonts w:ascii="Arial" w:hAnsi="Arial" w:cs="Arial"/>
          <w:sz w:val="20"/>
          <w:szCs w:val="20"/>
        </w:rPr>
        <w:softHyphen/>
        <w:t>tion, la bulle explose. […]</w:t>
      </w:r>
    </w:p>
    <w:p w:rsidR="001D0525" w:rsidRPr="00E22C25" w:rsidRDefault="001D0525" w:rsidP="004F29C7">
      <w:pPr>
        <w:spacing w:after="0" w:line="240" w:lineRule="auto"/>
        <w:jc w:val="both"/>
        <w:rPr>
          <w:rFonts w:ascii="Arial" w:hAnsi="Arial" w:cs="Arial"/>
          <w:sz w:val="20"/>
          <w:szCs w:val="20"/>
        </w:rPr>
      </w:pPr>
    </w:p>
    <w:p w:rsidR="001D0525" w:rsidRPr="00E22C25" w:rsidRDefault="001D0525" w:rsidP="004F29C7">
      <w:pPr>
        <w:spacing w:after="0" w:line="240" w:lineRule="auto"/>
        <w:jc w:val="both"/>
        <w:rPr>
          <w:rFonts w:ascii="Arial" w:hAnsi="Arial" w:cs="Arial"/>
          <w:sz w:val="20"/>
          <w:szCs w:val="20"/>
        </w:rPr>
      </w:pPr>
      <w:r w:rsidRPr="00E22C25">
        <w:rPr>
          <w:rFonts w:ascii="Arial" w:hAnsi="Arial" w:cs="Arial"/>
          <w:sz w:val="20"/>
          <w:szCs w:val="20"/>
        </w:rPr>
        <w:sym w:font="Wingdings" w:char="F0E8"/>
      </w:r>
      <w:r w:rsidRPr="00E22C25">
        <w:rPr>
          <w:rFonts w:ascii="Arial" w:hAnsi="Arial" w:cs="Arial"/>
          <w:sz w:val="20"/>
          <w:szCs w:val="20"/>
        </w:rPr>
        <w:t xml:space="preserve"> une réaction violente des marchés</w:t>
      </w:r>
    </w:p>
    <w:p w:rsidR="00B71208" w:rsidRDefault="001D0525" w:rsidP="004F29C7">
      <w:pPr>
        <w:spacing w:after="0" w:line="240" w:lineRule="auto"/>
        <w:jc w:val="both"/>
        <w:rPr>
          <w:rFonts w:ascii="Arial" w:hAnsi="Arial" w:cs="Arial"/>
          <w:sz w:val="20"/>
          <w:szCs w:val="20"/>
        </w:rPr>
      </w:pPr>
      <w:r w:rsidRPr="00E22C25">
        <w:rPr>
          <w:rFonts w:ascii="Arial" w:hAnsi="Arial" w:cs="Arial"/>
          <w:sz w:val="20"/>
          <w:szCs w:val="20"/>
        </w:rPr>
        <w:t xml:space="preserve">Si les banques centrales s'étaient souciées un tant soit peu de la stabilité financière comme elles s'y étaient solennellement engagées, notamment après le coup de tabac de 2008, elles n'auraient pas laissé augmenter anormalement les taux d'endettement du secteur privé et la valorisation des actifs, tout comme elles n'auraient pas laissé piquer du nez à ce point les primes de risque. Si elles avaient sérieusement pris en compte </w:t>
      </w:r>
      <w:r w:rsidRPr="00E22C25">
        <w:rPr>
          <w:rFonts w:ascii="Arial" w:hAnsi="Arial" w:cs="Arial"/>
          <w:bCs/>
          <w:sz w:val="20"/>
          <w:szCs w:val="20"/>
        </w:rPr>
        <w:t xml:space="preserve">l'objectif </w:t>
      </w:r>
      <w:r w:rsidRPr="00E22C25">
        <w:rPr>
          <w:rFonts w:ascii="Arial" w:hAnsi="Arial" w:cs="Arial"/>
          <w:sz w:val="20"/>
          <w:szCs w:val="20"/>
        </w:rPr>
        <w:t xml:space="preserve">de stabilité financière, elles auraient mené des politiques plus restrictives de 1997 à 2000 et de 2002 à 2007. De même, dans la période qui a suivi la crise de 2008, elles auraient resserré les boulons plus tôt aux États-Unis comme au Royaume-Uni et mis en place le </w:t>
      </w:r>
      <w:r w:rsidRPr="00E22C25">
        <w:rPr>
          <w:rFonts w:ascii="Arial" w:hAnsi="Arial" w:cs="Arial"/>
          <w:i/>
          <w:iCs/>
          <w:sz w:val="20"/>
          <w:szCs w:val="20"/>
        </w:rPr>
        <w:t xml:space="preserve">QE </w:t>
      </w:r>
      <w:r w:rsidRPr="00E22C25">
        <w:rPr>
          <w:rFonts w:ascii="Arial" w:hAnsi="Arial" w:cs="Arial"/>
          <w:sz w:val="20"/>
          <w:szCs w:val="20"/>
        </w:rPr>
        <w:t xml:space="preserve">plus tôt en zone euro, puisqu'en 2015 les cours des actions y étaient déjà élevés et les primes de risque faibles. Le recours inconsidéré au </w:t>
      </w:r>
      <w:r w:rsidRPr="00E22C25">
        <w:rPr>
          <w:rFonts w:ascii="Arial" w:hAnsi="Arial" w:cs="Arial"/>
          <w:i/>
          <w:iCs/>
          <w:sz w:val="20"/>
          <w:szCs w:val="20"/>
        </w:rPr>
        <w:t xml:space="preserve">Quantitative </w:t>
      </w:r>
      <w:proofErr w:type="spellStart"/>
      <w:r w:rsidRPr="00E22C25">
        <w:rPr>
          <w:rFonts w:ascii="Arial" w:hAnsi="Arial" w:cs="Arial"/>
          <w:i/>
          <w:iCs/>
          <w:sz w:val="20"/>
          <w:szCs w:val="20"/>
        </w:rPr>
        <w:t>Easing</w:t>
      </w:r>
      <w:proofErr w:type="spellEnd"/>
      <w:r w:rsidRPr="00E22C25">
        <w:rPr>
          <w:rFonts w:ascii="Arial" w:hAnsi="Arial" w:cs="Arial"/>
          <w:i/>
          <w:iCs/>
          <w:sz w:val="20"/>
          <w:szCs w:val="20"/>
        </w:rPr>
        <w:t xml:space="preserve"> </w:t>
      </w:r>
      <w:r w:rsidRPr="00E22C25">
        <w:rPr>
          <w:rFonts w:ascii="Arial" w:hAnsi="Arial" w:cs="Arial"/>
          <w:sz w:val="20"/>
          <w:szCs w:val="20"/>
        </w:rPr>
        <w:t xml:space="preserve">lorsque la situation des marchés financiers est bonne (ce qui est le cas en zone euro) ne peut en effet que faire enfler les bulles: c'est bien la preuve qu'une banque centrale ne devrait pas utiliser celles-ci comme instrument de la politique monétaire pour soutenir </w:t>
      </w:r>
      <w:r w:rsidRPr="00E22C25">
        <w:rPr>
          <w:rFonts w:ascii="Arial" w:hAnsi="Arial" w:cs="Arial"/>
          <w:bCs/>
          <w:sz w:val="20"/>
          <w:szCs w:val="20"/>
        </w:rPr>
        <w:t xml:space="preserve">l'économie. </w:t>
      </w:r>
      <w:r w:rsidRPr="00E22C25">
        <w:rPr>
          <w:rFonts w:ascii="Arial" w:hAnsi="Arial" w:cs="Arial"/>
          <w:sz w:val="20"/>
          <w:szCs w:val="20"/>
        </w:rPr>
        <w:t>Plus la liquidité est abon</w:t>
      </w:r>
      <w:r w:rsidRPr="00E22C25">
        <w:rPr>
          <w:rFonts w:ascii="Arial" w:hAnsi="Arial" w:cs="Arial"/>
          <w:sz w:val="20"/>
          <w:szCs w:val="20"/>
        </w:rPr>
        <w:softHyphen/>
        <w:t>dante, plus la taille des flux de capitaux qui migrent brutalement, et sans préavis, d'un actif à un autre est grande, et plus la réaction des marchés financiers est violente. À l'été 2015, l'inquiétude qui s'est soudai</w:t>
      </w:r>
      <w:r w:rsidRPr="00E22C25">
        <w:rPr>
          <w:rFonts w:ascii="Arial" w:hAnsi="Arial" w:cs="Arial"/>
          <w:sz w:val="20"/>
          <w:szCs w:val="20"/>
        </w:rPr>
        <w:softHyphen/>
        <w:t xml:space="preserve">nement fait jour sur les perspectives de croissance des pays émergents a provoqué des sorties de capitaux depuis ces pays dix fois plus importantes qu'il y a dix ans dans les mêmes circonstances, ce qui explique l'effondrement de leurs devises (les devises des pays émergents hors Chine ont perdu en moyenne 30 % contre </w:t>
      </w:r>
      <w:r w:rsidR="00B71208">
        <w:rPr>
          <w:rFonts w:ascii="Arial" w:hAnsi="Arial" w:cs="Arial"/>
          <w:sz w:val="20"/>
          <w:szCs w:val="20"/>
        </w:rPr>
        <w:t xml:space="preserve">le dollar depuis janvier 2014). </w:t>
      </w:r>
    </w:p>
    <w:p w:rsidR="00697A97" w:rsidRPr="00697A97" w:rsidRDefault="00697A97" w:rsidP="004F29C7">
      <w:pPr>
        <w:spacing w:after="0" w:line="240" w:lineRule="auto"/>
        <w:jc w:val="both"/>
        <w:rPr>
          <w:rFonts w:ascii="Arial" w:hAnsi="Arial" w:cs="Arial"/>
          <w:sz w:val="8"/>
          <w:szCs w:val="8"/>
        </w:rPr>
      </w:pPr>
    </w:p>
    <w:p w:rsidR="001D0525" w:rsidRPr="00E22C25" w:rsidRDefault="001D0525" w:rsidP="00697A97">
      <w:pPr>
        <w:spacing w:line="240" w:lineRule="auto"/>
        <w:ind w:left="567"/>
        <w:jc w:val="right"/>
        <w:rPr>
          <w:rFonts w:ascii="Arial" w:hAnsi="Arial" w:cs="Arial"/>
          <w:sz w:val="20"/>
          <w:szCs w:val="20"/>
        </w:rPr>
      </w:pPr>
      <w:r w:rsidRPr="00E22C25">
        <w:rPr>
          <w:rFonts w:ascii="Arial" w:hAnsi="Arial" w:cs="Arial"/>
          <w:sz w:val="20"/>
          <w:szCs w:val="20"/>
        </w:rPr>
        <w:t xml:space="preserve">P. Artus, M-P. </w:t>
      </w:r>
      <w:proofErr w:type="spellStart"/>
      <w:r w:rsidRPr="00E22C25">
        <w:rPr>
          <w:rFonts w:ascii="Arial" w:hAnsi="Arial" w:cs="Arial"/>
          <w:sz w:val="20"/>
          <w:szCs w:val="20"/>
        </w:rPr>
        <w:t>Virard</w:t>
      </w:r>
      <w:proofErr w:type="spellEnd"/>
      <w:r w:rsidRPr="00E22C25">
        <w:rPr>
          <w:rFonts w:ascii="Arial" w:hAnsi="Arial" w:cs="Arial"/>
          <w:sz w:val="20"/>
          <w:szCs w:val="20"/>
        </w:rPr>
        <w:t xml:space="preserve">, </w:t>
      </w:r>
      <w:r w:rsidRPr="00E22C25">
        <w:rPr>
          <w:rFonts w:ascii="Arial" w:hAnsi="Arial" w:cs="Arial"/>
          <w:i/>
          <w:sz w:val="20"/>
          <w:szCs w:val="20"/>
        </w:rPr>
        <w:t>La folie des banques centrales</w:t>
      </w:r>
      <w:r w:rsidRPr="00E22C25">
        <w:rPr>
          <w:rFonts w:ascii="Arial" w:hAnsi="Arial" w:cs="Arial"/>
          <w:sz w:val="20"/>
          <w:szCs w:val="20"/>
        </w:rPr>
        <w:t>, Fayard 2016</w:t>
      </w:r>
    </w:p>
    <w:p w:rsidR="00D2555F" w:rsidRPr="00E22C25" w:rsidRDefault="00D2555F" w:rsidP="004F29C7">
      <w:pPr>
        <w:spacing w:line="240" w:lineRule="auto"/>
        <w:jc w:val="both"/>
        <w:rPr>
          <w:rFonts w:ascii="Arial" w:hAnsi="Arial" w:cs="Arial"/>
          <w:sz w:val="20"/>
          <w:szCs w:val="20"/>
        </w:rPr>
      </w:pPr>
    </w:p>
    <w:p w:rsidR="004D213A" w:rsidRPr="0003696B" w:rsidRDefault="004D213A" w:rsidP="004F29C7">
      <w:pPr>
        <w:spacing w:line="240" w:lineRule="auto"/>
        <w:jc w:val="both"/>
        <w:rPr>
          <w:rFonts w:ascii="Arial" w:hAnsi="Arial" w:cs="Arial"/>
          <w:b/>
          <w:sz w:val="20"/>
          <w:szCs w:val="20"/>
          <w:u w:val="single"/>
        </w:rPr>
      </w:pPr>
      <w:r w:rsidRPr="0003696B">
        <w:rPr>
          <w:rFonts w:ascii="Arial" w:hAnsi="Arial" w:cs="Arial"/>
          <w:b/>
          <w:sz w:val="20"/>
          <w:szCs w:val="20"/>
          <w:u w:val="single"/>
        </w:rPr>
        <w:t>Document </w:t>
      </w:r>
      <w:r w:rsidR="001655A8">
        <w:rPr>
          <w:rFonts w:ascii="Arial" w:hAnsi="Arial" w:cs="Arial"/>
          <w:b/>
          <w:sz w:val="20"/>
          <w:szCs w:val="20"/>
          <w:u w:val="single"/>
        </w:rPr>
        <w:t>31</w:t>
      </w:r>
      <w:r w:rsidR="0003696B" w:rsidRPr="0003696B">
        <w:rPr>
          <w:rFonts w:ascii="Arial" w:hAnsi="Arial" w:cs="Arial"/>
          <w:b/>
          <w:sz w:val="20"/>
          <w:szCs w:val="20"/>
          <w:u w:val="single"/>
        </w:rPr>
        <w:t xml:space="preserve"> </w:t>
      </w:r>
      <w:r w:rsidRPr="0003696B">
        <w:rPr>
          <w:rFonts w:ascii="Arial" w:hAnsi="Arial" w:cs="Arial"/>
          <w:b/>
          <w:sz w:val="20"/>
          <w:szCs w:val="20"/>
          <w:u w:val="single"/>
        </w:rPr>
        <w:t xml:space="preserve">: la crainte </w:t>
      </w:r>
      <w:r w:rsidR="0021467F" w:rsidRPr="0003696B">
        <w:rPr>
          <w:rFonts w:ascii="Arial" w:hAnsi="Arial" w:cs="Arial"/>
          <w:b/>
          <w:sz w:val="20"/>
          <w:szCs w:val="20"/>
          <w:u w:val="single"/>
        </w:rPr>
        <w:t>pour l</w:t>
      </w:r>
      <w:r w:rsidRPr="0003696B">
        <w:rPr>
          <w:rFonts w:ascii="Arial" w:hAnsi="Arial" w:cs="Arial"/>
          <w:b/>
          <w:sz w:val="20"/>
          <w:szCs w:val="20"/>
          <w:u w:val="single"/>
        </w:rPr>
        <w:t xml:space="preserve">es marchés </w:t>
      </w:r>
      <w:r w:rsidR="0003696B" w:rsidRPr="0003696B">
        <w:rPr>
          <w:rFonts w:ascii="Arial" w:hAnsi="Arial" w:cs="Arial"/>
          <w:b/>
          <w:sz w:val="20"/>
          <w:szCs w:val="20"/>
          <w:u w:val="single"/>
        </w:rPr>
        <w:t>empêche</w:t>
      </w:r>
      <w:r w:rsidRPr="0003696B">
        <w:rPr>
          <w:rFonts w:ascii="Arial" w:hAnsi="Arial" w:cs="Arial"/>
          <w:b/>
          <w:sz w:val="20"/>
          <w:szCs w:val="20"/>
          <w:u w:val="single"/>
        </w:rPr>
        <w:t xml:space="preserve"> les banques centrales de changer de politique monétaire</w:t>
      </w:r>
    </w:p>
    <w:p w:rsidR="0021467F" w:rsidRPr="00E22C25" w:rsidRDefault="0021467F" w:rsidP="004F29C7">
      <w:pPr>
        <w:spacing w:line="240" w:lineRule="auto"/>
        <w:jc w:val="both"/>
        <w:rPr>
          <w:rFonts w:ascii="Arial" w:hAnsi="Arial" w:cs="Arial"/>
          <w:sz w:val="20"/>
          <w:szCs w:val="20"/>
        </w:rPr>
      </w:pPr>
      <w:r w:rsidRPr="00E22C25">
        <w:rPr>
          <w:rFonts w:ascii="Arial" w:hAnsi="Arial" w:cs="Arial"/>
          <w:sz w:val="20"/>
          <w:szCs w:val="20"/>
        </w:rPr>
        <w:t>[…] nous sommes peut-être  entrés dans un nouveau régime où les cycles écono</w:t>
      </w:r>
      <w:r w:rsidRPr="00E22C25">
        <w:rPr>
          <w:rFonts w:ascii="Arial" w:hAnsi="Arial" w:cs="Arial"/>
          <w:sz w:val="20"/>
          <w:szCs w:val="20"/>
        </w:rPr>
        <w:softHyphen/>
        <w:t>miques ne sont plus liés au cycle de la politique monétaire et de l'inflation, et que les « cycles moné</w:t>
      </w:r>
      <w:r w:rsidRPr="00E22C25">
        <w:rPr>
          <w:rFonts w:ascii="Arial" w:hAnsi="Arial" w:cs="Arial"/>
          <w:sz w:val="20"/>
          <w:szCs w:val="20"/>
        </w:rPr>
        <w:softHyphen/>
        <w:t>taires » aujourd'hui disparus vont être remplacés par des politiques monétaires durablement laxistes avec taux d'intérêt faibles et abondance de liquidi</w:t>
      </w:r>
      <w:r w:rsidRPr="00E22C25">
        <w:rPr>
          <w:rFonts w:ascii="Arial" w:hAnsi="Arial" w:cs="Arial"/>
          <w:sz w:val="20"/>
          <w:szCs w:val="20"/>
        </w:rPr>
        <w:softHyphen/>
        <w:t>tés. Il s'agirait d'un bouleversement fondamental dont l'ambiguïté tient en une phrase: on ne sort pas d'une politique monétaire expansionniste lorsque celle-ci a été menée sur longue période (et alors que les banques centrales n'y sont plus contraintes par le niveau de l'inflation). Songeons, par exemple, que le laxisme règne sur le régime monétaire japo</w:t>
      </w:r>
      <w:r w:rsidRPr="00E22C25">
        <w:rPr>
          <w:rFonts w:ascii="Arial" w:hAnsi="Arial" w:cs="Arial"/>
          <w:sz w:val="20"/>
          <w:szCs w:val="20"/>
        </w:rPr>
        <w:softHyphen/>
        <w:t>nais depuis 1999 (depuis 2008 aux États-Unis et au Royaume-Uni, 2009 en Suède et dans la zone euro). Et jusqu'à preuve du contraire, ce n'est pas l'infla</w:t>
      </w:r>
      <w:r w:rsidRPr="00E22C25">
        <w:rPr>
          <w:rFonts w:ascii="Arial" w:hAnsi="Arial" w:cs="Arial"/>
          <w:sz w:val="20"/>
          <w:szCs w:val="20"/>
        </w:rPr>
        <w:softHyphen/>
        <w:t xml:space="preserve">tion qui </w:t>
      </w:r>
      <w:proofErr w:type="spellStart"/>
      <w:r w:rsidRPr="00E22C25">
        <w:rPr>
          <w:rFonts w:ascii="Arial" w:hAnsi="Arial" w:cs="Arial"/>
          <w:sz w:val="20"/>
          <w:szCs w:val="20"/>
        </w:rPr>
        <w:t>peur</w:t>
      </w:r>
      <w:proofErr w:type="spellEnd"/>
      <w:r w:rsidRPr="00E22C25">
        <w:rPr>
          <w:rFonts w:ascii="Arial" w:hAnsi="Arial" w:cs="Arial"/>
          <w:sz w:val="20"/>
          <w:szCs w:val="20"/>
        </w:rPr>
        <w:t xml:space="preserve"> contraindre ces différents pays à en sortir. En tout cas, sans doute pas dans les années qui viennent. Du coup, ce qui obsède avant tout les banquiers centraux, ce sont les conséquences d'une remontée du loyer de l'argent. </w:t>
      </w:r>
    </w:p>
    <w:p w:rsidR="0021467F" w:rsidRPr="00E22C25" w:rsidRDefault="0021467F" w:rsidP="004F29C7">
      <w:pPr>
        <w:spacing w:line="240" w:lineRule="auto"/>
        <w:jc w:val="both"/>
        <w:rPr>
          <w:rFonts w:ascii="Arial" w:hAnsi="Arial" w:cs="Arial"/>
          <w:sz w:val="20"/>
          <w:szCs w:val="20"/>
        </w:rPr>
      </w:pPr>
      <w:r w:rsidRPr="00E22C25">
        <w:rPr>
          <w:rFonts w:ascii="Arial" w:hAnsi="Arial" w:cs="Arial"/>
          <w:sz w:val="20"/>
          <w:szCs w:val="20"/>
        </w:rPr>
        <w:t xml:space="preserve">Et d'abord pour les emprunteurs. Dans l'OCDE, les taux d'endettement sont élevés dans de très  nombreux pays. Un relèvement des taux d'intérêt à long terme aurait un effet catastrophique sur les </w:t>
      </w:r>
      <w:r w:rsidR="00D6241E">
        <w:rPr>
          <w:rFonts w:ascii="Arial" w:hAnsi="Arial" w:cs="Arial"/>
          <w:sz w:val="20"/>
          <w:szCs w:val="20"/>
        </w:rPr>
        <w:t>fi</w:t>
      </w:r>
      <w:r w:rsidRPr="00E22C25">
        <w:rPr>
          <w:rFonts w:ascii="Arial" w:hAnsi="Arial" w:cs="Arial"/>
          <w:sz w:val="20"/>
          <w:szCs w:val="20"/>
        </w:rPr>
        <w:t>nances publiques comme sur les dettes des emprun</w:t>
      </w:r>
      <w:r w:rsidRPr="00E22C25">
        <w:rPr>
          <w:rFonts w:ascii="Arial" w:hAnsi="Arial" w:cs="Arial"/>
          <w:sz w:val="20"/>
          <w:szCs w:val="20"/>
        </w:rPr>
        <w:softHyphen/>
        <w:t xml:space="preserve">teurs privés (augmentation du nombre de défauts, baisse de la </w:t>
      </w:r>
      <w:r w:rsidRPr="00E22C25">
        <w:rPr>
          <w:rFonts w:ascii="Arial" w:hAnsi="Arial" w:cs="Arial"/>
          <w:sz w:val="20"/>
          <w:szCs w:val="20"/>
        </w:rPr>
        <w:lastRenderedPageBreak/>
        <w:t xml:space="preserve">demande). Dans le cas américain, cela concerne aussi les dettes internationales émises en dollars (13 000 milliards de dollars au troisième trimestre 2015). La Fed peut être sensible au fait que la hausse des taux d'intérêt américains risque de dégrader la situation des pays étrangers endettés dans sa monnaie. </w:t>
      </w:r>
    </w:p>
    <w:p w:rsidR="0021467F" w:rsidRPr="00E22C25" w:rsidRDefault="0021467F" w:rsidP="0003696B">
      <w:pPr>
        <w:spacing w:after="0" w:line="240" w:lineRule="auto"/>
        <w:jc w:val="both"/>
        <w:rPr>
          <w:rFonts w:ascii="Arial" w:hAnsi="Arial" w:cs="Arial"/>
          <w:sz w:val="20"/>
          <w:szCs w:val="20"/>
        </w:rPr>
      </w:pPr>
      <w:r w:rsidRPr="00E22C25">
        <w:rPr>
          <w:rFonts w:ascii="Arial" w:hAnsi="Arial" w:cs="Arial"/>
          <w:sz w:val="20"/>
          <w:szCs w:val="20"/>
        </w:rPr>
        <w:t>Surtout, les banques centrales redoutent plus que tout de faire apparaître d'énormes pertes dans les portefeuilles des investisseurs. Lorsque les taux d'in</w:t>
      </w:r>
      <w:r w:rsidRPr="00E22C25">
        <w:rPr>
          <w:rFonts w:ascii="Arial" w:hAnsi="Arial" w:cs="Arial"/>
          <w:sz w:val="20"/>
          <w:szCs w:val="20"/>
        </w:rPr>
        <w:softHyphen/>
        <w:t xml:space="preserve">térêt à long terme ont été durablement bas, comme c'est le cas depuis plusieurs années, les investisseurs institutionnels et les banquiers ont eu le temps de renouveler tous leurs portefeuilles obligataires en achetant des obligations à coupons très faibles. Une remontée des taux à long terme leur infligerait des pertes très importantes. Ainsi, avec un encours des portefeuilles obligataires cumulés (investisseurs institutionnels et banques) inscrits dans les comptes de 300 % du PIB, la banque centrale japonaise veut éviter le bain de sang. Sans atteindre de telles extrémités, les encours représentent 130 % du </w:t>
      </w:r>
      <w:r w:rsidRPr="00E22C25">
        <w:rPr>
          <w:rFonts w:ascii="Arial" w:hAnsi="Arial" w:cs="Arial"/>
          <w:bCs/>
          <w:sz w:val="20"/>
          <w:szCs w:val="20"/>
        </w:rPr>
        <w:t>PIB</w:t>
      </w:r>
      <w:r w:rsidRPr="00E22C25">
        <w:rPr>
          <w:rFonts w:ascii="Arial" w:hAnsi="Arial" w:cs="Arial"/>
          <w:b/>
          <w:bCs/>
          <w:sz w:val="20"/>
          <w:szCs w:val="20"/>
        </w:rPr>
        <w:t xml:space="preserve"> </w:t>
      </w:r>
      <w:r w:rsidRPr="00E22C25">
        <w:rPr>
          <w:rFonts w:ascii="Arial" w:hAnsi="Arial" w:cs="Arial"/>
          <w:sz w:val="20"/>
          <w:szCs w:val="20"/>
        </w:rPr>
        <w:t>au Royaume-Uni, 95 % en zone euro et 55 % aux États-Unis. Des chiffres suffisamment conséquents pour donner des sueurs froides à plus d'un banquier central. De même, toute remontée des taux expose</w:t>
      </w:r>
      <w:r w:rsidRPr="00E22C25">
        <w:rPr>
          <w:rFonts w:ascii="Arial" w:hAnsi="Arial" w:cs="Arial"/>
          <w:sz w:val="20"/>
          <w:szCs w:val="20"/>
        </w:rPr>
        <w:softHyphen/>
        <w:t>rait au risque de « dislocation» des marchés finan</w:t>
      </w:r>
      <w:r w:rsidRPr="00E22C25">
        <w:rPr>
          <w:rFonts w:ascii="Arial" w:hAnsi="Arial" w:cs="Arial"/>
          <w:sz w:val="20"/>
          <w:szCs w:val="20"/>
        </w:rPr>
        <w:softHyphen/>
        <w:t>ciers, surtout dans une situation où la liquidité de marché est faible. De nombreux fonds d'investisse</w:t>
      </w:r>
      <w:r w:rsidRPr="00E22C25">
        <w:rPr>
          <w:rFonts w:ascii="Arial" w:hAnsi="Arial" w:cs="Arial"/>
          <w:sz w:val="20"/>
          <w:szCs w:val="20"/>
        </w:rPr>
        <w:softHyphen/>
        <w:t xml:space="preserve">ment ont en effet collecté de l'épargne très liquide (qu'ils s'engagent à restituer dans la journée si elle est réclamée) et ont investi dans des actifs </w:t>
      </w:r>
      <w:proofErr w:type="spellStart"/>
      <w:r w:rsidRPr="00E22C25">
        <w:rPr>
          <w:rFonts w:ascii="Arial" w:hAnsi="Arial" w:cs="Arial"/>
          <w:sz w:val="20"/>
          <w:szCs w:val="20"/>
        </w:rPr>
        <w:t>illi</w:t>
      </w:r>
      <w:r w:rsidRPr="00E22C25">
        <w:rPr>
          <w:rFonts w:ascii="Arial" w:hAnsi="Arial" w:cs="Arial"/>
          <w:sz w:val="20"/>
          <w:szCs w:val="20"/>
        </w:rPr>
        <w:softHyphen/>
        <w:t>quides</w:t>
      </w:r>
      <w:proofErr w:type="spellEnd"/>
      <w:r w:rsidRPr="00E22C25">
        <w:rPr>
          <w:rFonts w:ascii="Arial" w:hAnsi="Arial" w:cs="Arial"/>
          <w:sz w:val="20"/>
          <w:szCs w:val="20"/>
        </w:rPr>
        <w:t xml:space="preserve"> (dont les prix chutent lourdement en cas de vente). Lorsque se produit une récession ou une augmentation brutale de l'aversion pour le risque sur les marchés, ces fonds doivent rembourser les épargnants et vendent dans l'urgence, provoquant l'effondrement des actifs qu'ils détiennent et des marchés financiers. </w:t>
      </w:r>
    </w:p>
    <w:p w:rsidR="0021467F" w:rsidRPr="00E22C25" w:rsidRDefault="0021467F" w:rsidP="00B71208">
      <w:pPr>
        <w:spacing w:after="100" w:line="240" w:lineRule="auto"/>
        <w:jc w:val="both"/>
        <w:rPr>
          <w:rFonts w:ascii="Arial" w:hAnsi="Arial" w:cs="Arial"/>
          <w:sz w:val="20"/>
          <w:szCs w:val="20"/>
        </w:rPr>
      </w:pPr>
      <w:r w:rsidRPr="00E22C25">
        <w:rPr>
          <w:rFonts w:ascii="Arial" w:hAnsi="Arial" w:cs="Arial"/>
          <w:sz w:val="20"/>
          <w:szCs w:val="20"/>
        </w:rPr>
        <w:t>Par ailleurs, on l'a vu, dans la course éperdue derrière la croissance, les banques centrales sont extrêmement réticentes à l'idée de voir s'évaporer les effets de richesse qui, à l'heure actuelle, constituent un des carburants indispensables de la demande inté</w:t>
      </w:r>
      <w:r w:rsidRPr="00E22C25">
        <w:rPr>
          <w:rFonts w:ascii="Arial" w:hAnsi="Arial" w:cs="Arial"/>
          <w:sz w:val="20"/>
          <w:szCs w:val="20"/>
        </w:rPr>
        <w:softHyphen/>
        <w:t xml:space="preserve">rieure. N'oublions pas enfin que la première banque centrale qui augmentera ses taux directeurs exposera sa monnaie à l'appréciation, ce qui n'est pas non plus une bonne nouvelle pour la croissance économique. </w:t>
      </w:r>
    </w:p>
    <w:p w:rsidR="0021467F" w:rsidRDefault="0021467F" w:rsidP="00B71208">
      <w:pPr>
        <w:spacing w:after="0" w:line="240" w:lineRule="auto"/>
        <w:ind w:left="567"/>
        <w:jc w:val="right"/>
        <w:rPr>
          <w:rFonts w:ascii="Arial" w:hAnsi="Arial" w:cs="Arial"/>
          <w:sz w:val="20"/>
          <w:szCs w:val="20"/>
        </w:rPr>
      </w:pPr>
      <w:r w:rsidRPr="00E22C25">
        <w:rPr>
          <w:rFonts w:ascii="Arial" w:hAnsi="Arial" w:cs="Arial"/>
          <w:sz w:val="20"/>
          <w:szCs w:val="20"/>
        </w:rPr>
        <w:t xml:space="preserve">P. Artus, M-P. </w:t>
      </w:r>
      <w:proofErr w:type="spellStart"/>
      <w:r w:rsidRPr="00E22C25">
        <w:rPr>
          <w:rFonts w:ascii="Arial" w:hAnsi="Arial" w:cs="Arial"/>
          <w:sz w:val="20"/>
          <w:szCs w:val="20"/>
        </w:rPr>
        <w:t>Virard</w:t>
      </w:r>
      <w:proofErr w:type="spellEnd"/>
      <w:r w:rsidRPr="00E22C25">
        <w:rPr>
          <w:rFonts w:ascii="Arial" w:hAnsi="Arial" w:cs="Arial"/>
          <w:sz w:val="20"/>
          <w:szCs w:val="20"/>
        </w:rPr>
        <w:t xml:space="preserve">, </w:t>
      </w:r>
      <w:r w:rsidRPr="00E22C25">
        <w:rPr>
          <w:rFonts w:ascii="Arial" w:hAnsi="Arial" w:cs="Arial"/>
          <w:i/>
          <w:sz w:val="20"/>
          <w:szCs w:val="20"/>
        </w:rPr>
        <w:t>La folie des banques centrales</w:t>
      </w:r>
      <w:r w:rsidRPr="00E22C25">
        <w:rPr>
          <w:rFonts w:ascii="Arial" w:hAnsi="Arial" w:cs="Arial"/>
          <w:sz w:val="20"/>
          <w:szCs w:val="20"/>
        </w:rPr>
        <w:t>, Fayard 2016</w:t>
      </w:r>
    </w:p>
    <w:p w:rsidR="00B71208" w:rsidRPr="00E22C25" w:rsidRDefault="00B71208" w:rsidP="00B71208">
      <w:pPr>
        <w:spacing w:after="0" w:line="240" w:lineRule="auto"/>
        <w:ind w:left="567"/>
        <w:jc w:val="right"/>
        <w:rPr>
          <w:rFonts w:ascii="Arial" w:hAnsi="Arial" w:cs="Arial"/>
          <w:sz w:val="20"/>
          <w:szCs w:val="20"/>
        </w:rPr>
      </w:pPr>
    </w:p>
    <w:p w:rsidR="003A69A9" w:rsidRPr="0003696B" w:rsidRDefault="003A69A9" w:rsidP="004F29C7">
      <w:pPr>
        <w:spacing w:line="240" w:lineRule="auto"/>
        <w:jc w:val="both"/>
        <w:rPr>
          <w:rFonts w:ascii="Arial" w:hAnsi="Arial" w:cs="Arial"/>
          <w:b/>
          <w:sz w:val="20"/>
          <w:szCs w:val="20"/>
          <w:u w:val="single"/>
        </w:rPr>
      </w:pPr>
      <w:r w:rsidRPr="0003696B">
        <w:rPr>
          <w:rFonts w:ascii="Arial" w:hAnsi="Arial" w:cs="Arial"/>
          <w:b/>
          <w:sz w:val="20"/>
          <w:szCs w:val="20"/>
          <w:u w:val="single"/>
        </w:rPr>
        <w:t>Document </w:t>
      </w:r>
      <w:r w:rsidR="001655A8">
        <w:rPr>
          <w:rFonts w:ascii="Arial" w:hAnsi="Arial" w:cs="Arial"/>
          <w:b/>
          <w:sz w:val="20"/>
          <w:szCs w:val="20"/>
          <w:u w:val="single"/>
        </w:rPr>
        <w:t>36</w:t>
      </w:r>
      <w:r w:rsidR="0003696B" w:rsidRPr="0003696B">
        <w:rPr>
          <w:rFonts w:ascii="Arial" w:hAnsi="Arial" w:cs="Arial"/>
          <w:b/>
          <w:sz w:val="20"/>
          <w:szCs w:val="20"/>
          <w:u w:val="single"/>
        </w:rPr>
        <w:t xml:space="preserve"> </w:t>
      </w:r>
      <w:r w:rsidRPr="0003696B">
        <w:rPr>
          <w:rFonts w:ascii="Arial" w:hAnsi="Arial" w:cs="Arial"/>
          <w:b/>
          <w:sz w:val="20"/>
          <w:szCs w:val="20"/>
          <w:u w:val="single"/>
        </w:rPr>
        <w:t xml:space="preserve">: complémentarité ou conflit entre stabilité </w:t>
      </w:r>
      <w:r w:rsidR="00162F48" w:rsidRPr="0003696B">
        <w:rPr>
          <w:rFonts w:ascii="Arial" w:hAnsi="Arial" w:cs="Arial"/>
          <w:b/>
          <w:sz w:val="20"/>
          <w:szCs w:val="20"/>
          <w:u w:val="single"/>
        </w:rPr>
        <w:t>monétaire et stabilité financière</w:t>
      </w:r>
    </w:p>
    <w:p w:rsidR="003A69A9" w:rsidRPr="00E22C25" w:rsidRDefault="003A69A9" w:rsidP="004F29C7">
      <w:pPr>
        <w:spacing w:line="240" w:lineRule="auto"/>
        <w:jc w:val="both"/>
        <w:rPr>
          <w:rFonts w:ascii="Arial" w:hAnsi="Arial" w:cs="Arial"/>
          <w:sz w:val="20"/>
          <w:szCs w:val="20"/>
        </w:rPr>
      </w:pPr>
      <w:r w:rsidRPr="00E22C25">
        <w:rPr>
          <w:rFonts w:ascii="Arial" w:hAnsi="Arial" w:cs="Arial"/>
          <w:sz w:val="20"/>
          <w:szCs w:val="20"/>
        </w:rPr>
        <w:t>Dans un régime régulier, la stabilité monétaire et la stabilité financière sont deux objectifs complémentaires. La p</w:t>
      </w:r>
      <w:r w:rsidR="001655A8">
        <w:rPr>
          <w:rFonts w:ascii="Arial" w:hAnsi="Arial" w:cs="Arial"/>
          <w:sz w:val="20"/>
          <w:szCs w:val="20"/>
        </w:rPr>
        <w:t>remière peut même être considé</w:t>
      </w:r>
      <w:r w:rsidRPr="00E22C25">
        <w:rPr>
          <w:rFonts w:ascii="Arial" w:hAnsi="Arial" w:cs="Arial"/>
          <w:sz w:val="20"/>
          <w:szCs w:val="20"/>
        </w:rPr>
        <w:t>rée comme une condition nécessaire à la réalisation de la seconde. La stabilité financière est sans doute mieux assurée dans un environnement macro- économique qui a lui aussi cette propriété. Dans cette situation, une politique monétaire orientée vers la stabilité des prix – sans pour autant se désintéresser des fluctuations de l’activité économique – devrait contribuer à la stabilité financière. La poursuite d’un objectif de faible inflation est alors la meilleure contribution que la politique monétaire puisse apporter à la stabilité du système financier. De la même façon, la stabilité financière contribue sans doute à la stabilité monétaire. La solidité et l’efficacité du système financier concourent à la croissance de l’économie et renforcent sa résistance aux chocs. Inversement, les crises bancaires et financières se traduisent par un ralentissement de l’activité économique qui peut rendre difficile la réalisa</w:t>
      </w:r>
      <w:r w:rsidR="00B71208">
        <w:rPr>
          <w:rFonts w:ascii="Arial" w:hAnsi="Arial" w:cs="Arial"/>
          <w:sz w:val="20"/>
          <w:szCs w:val="20"/>
        </w:rPr>
        <w:t>tion de l’objectif d’inflation ;</w:t>
      </w:r>
      <w:r w:rsidRPr="00E22C25">
        <w:rPr>
          <w:rFonts w:ascii="Arial" w:hAnsi="Arial" w:cs="Arial"/>
          <w:sz w:val="20"/>
          <w:szCs w:val="20"/>
        </w:rPr>
        <w:t xml:space="preserve"> dans les cas extrêmes, une spirale déflationniste peut même se déclencher. Différents mécanismes peuvent contribuer au renforcement mutuel de la stabilité monétaire et de la stabilité financière (</w:t>
      </w:r>
      <w:proofErr w:type="spellStart"/>
      <w:r w:rsidRPr="00E22C25">
        <w:rPr>
          <w:rFonts w:ascii="Arial" w:hAnsi="Arial" w:cs="Arial"/>
          <w:sz w:val="20"/>
          <w:szCs w:val="20"/>
        </w:rPr>
        <w:t>Papademos</w:t>
      </w:r>
      <w:proofErr w:type="spellEnd"/>
      <w:r w:rsidRPr="00E22C25">
        <w:rPr>
          <w:rFonts w:ascii="Arial" w:hAnsi="Arial" w:cs="Arial"/>
          <w:sz w:val="20"/>
          <w:szCs w:val="20"/>
        </w:rPr>
        <w:t xml:space="preserve">, 2009). Les contrats financiers étant rédigés en termes nominaux, la stabilité des prix élimine les effets </w:t>
      </w:r>
      <w:proofErr w:type="spellStart"/>
      <w:r w:rsidRPr="00E22C25">
        <w:rPr>
          <w:rFonts w:ascii="Arial" w:hAnsi="Arial" w:cs="Arial"/>
          <w:sz w:val="20"/>
          <w:szCs w:val="20"/>
        </w:rPr>
        <w:t>redistributifs</w:t>
      </w:r>
      <w:proofErr w:type="spellEnd"/>
      <w:r w:rsidRPr="00E22C25">
        <w:rPr>
          <w:rFonts w:ascii="Arial" w:hAnsi="Arial" w:cs="Arial"/>
          <w:sz w:val="20"/>
          <w:szCs w:val="20"/>
        </w:rPr>
        <w:t xml:space="preserve"> arbitraires, entre prêteurs et emprunteurs, dus à l’inflation non anticipée et donc les conséquences (difficultés financières voire défaillances) qu’ils pourraient avoir. Un bon ancrage des anticipations augmente l’efficacité de la politique monétaire quand les taux d’intérêt sont proches de zéro ; cela permet d’éviter le déclenchement d’une spirale déflationniste, de stabiliser l’activité et de contribuer à la sta</w:t>
      </w:r>
      <w:r w:rsidR="00BF6032">
        <w:rPr>
          <w:rFonts w:ascii="Arial" w:hAnsi="Arial" w:cs="Arial"/>
          <w:sz w:val="20"/>
          <w:szCs w:val="20"/>
        </w:rPr>
        <w:t>bilité financière</w:t>
      </w:r>
      <w:r w:rsidRPr="00E22C25">
        <w:rPr>
          <w:rFonts w:ascii="Arial" w:hAnsi="Arial" w:cs="Arial"/>
          <w:sz w:val="20"/>
          <w:szCs w:val="20"/>
        </w:rPr>
        <w:t xml:space="preserve">. De son côté, la stabilité financière renforce l’efficacité de la politique monétaire en assurant un bon fonctionnement de ses mécanismes de transmission à l’intérieur de la sphère financière ainsi qu’entre celle-ci et le secteur réel. En cas de chocs, tout dépend de leur nature. Dans certains cas, les deux objectifs restent complémentaires (Artus, 2010). Voici quelques exemples : un choc de demande ayant des effets positifs sur l’inflation, le crédit, les prix des actifs ; un choc négatif sur le taux d’intérêt réel qui entraîne des hausses de la demande, des prix des actifs, et du crédit ; une poussée des prix des actifs qui provoque hausse de la demande et du crédit par effet de richesse, donc aussi hausse des prix ; dans ces trois situations, une hausse des taux contribue à la fois à la réalisation de la stabilité monétaire et à celle de la stabilité financière. Mais, il y a des cas où la poursuite de la stabilité monétaire et la recherche de la stabilité financière peuvent être antagoniques. Il en est ainsi chaque fois que, à la suite d’un choc, la première exigerait le statu quo pour les taux d’intérêt – pas de risque inflationniste – alors même que la seconde nécessiterait leur relèvement – emballement du crédit accompagnant une envolée des prix des actifs. Le risque de conflit entre stabilité monétaire et stabilité financière est notamment élevé en cas de choc d’offre – comme en 2007-2008 avec une révision à la hausse des anticipations inflationnistes à la suite de l’augmentation des prix des matières premières et des produits de base alors même que le système financier connaissait une crise de liquidité, avec des tensions sur le marché monétaire – ou en cas de modifications des comportements des agents économiques – comme dans la période qui a précédé la crise où, après une longue période de stabilité des prix et de taux d’intérêt bas, des déséquilibres </w:t>
      </w:r>
      <w:r w:rsidRPr="00E22C25">
        <w:rPr>
          <w:rFonts w:ascii="Arial" w:hAnsi="Arial" w:cs="Arial"/>
          <w:sz w:val="20"/>
          <w:szCs w:val="20"/>
        </w:rPr>
        <w:lastRenderedPageBreak/>
        <w:t>financiers se sont formés et développés en raison d’une sous-estimation des risques et d’un endettement exagéré de la part des agents économiques (</w:t>
      </w:r>
      <w:proofErr w:type="spellStart"/>
      <w:r w:rsidRPr="00E22C25">
        <w:rPr>
          <w:rFonts w:ascii="Arial" w:hAnsi="Arial" w:cs="Arial"/>
          <w:sz w:val="20"/>
          <w:szCs w:val="20"/>
        </w:rPr>
        <w:t>Papademos</w:t>
      </w:r>
      <w:proofErr w:type="spellEnd"/>
      <w:r w:rsidRPr="00E22C25">
        <w:rPr>
          <w:rFonts w:ascii="Arial" w:hAnsi="Arial" w:cs="Arial"/>
          <w:sz w:val="20"/>
          <w:szCs w:val="20"/>
        </w:rPr>
        <w:t xml:space="preserve">, 2009). Dans un tel contexte, l’utilisation des taux d’intérêt ne permet pas, à elle seule, d’atteindre les deux objectifs. Le recours à la politique macroprudentielle correspond à ce besoin d’avoir un outil supplémentaire. L’articulation entre les deux instruments doit alors être envisagée conformément aux recommandations du principe d’affectation des instruments de </w:t>
      </w:r>
      <w:proofErr w:type="spellStart"/>
      <w:r w:rsidRPr="00E22C25">
        <w:rPr>
          <w:rFonts w:ascii="Arial" w:hAnsi="Arial" w:cs="Arial"/>
          <w:sz w:val="20"/>
          <w:szCs w:val="20"/>
        </w:rPr>
        <w:t>Mundell</w:t>
      </w:r>
      <w:proofErr w:type="spellEnd"/>
      <w:r w:rsidRPr="00E22C25">
        <w:rPr>
          <w:rFonts w:ascii="Arial" w:hAnsi="Arial" w:cs="Arial"/>
          <w:sz w:val="20"/>
          <w:szCs w:val="20"/>
        </w:rPr>
        <w:t>.</w:t>
      </w:r>
    </w:p>
    <w:p w:rsidR="00D91216" w:rsidRPr="00E22C25" w:rsidRDefault="003A69A9" w:rsidP="00697A97">
      <w:pPr>
        <w:spacing w:line="240" w:lineRule="auto"/>
        <w:ind w:left="567"/>
        <w:jc w:val="right"/>
        <w:rPr>
          <w:rFonts w:ascii="Arial" w:hAnsi="Arial" w:cs="Arial"/>
          <w:i/>
          <w:sz w:val="20"/>
          <w:szCs w:val="20"/>
        </w:rPr>
      </w:pPr>
      <w:r w:rsidRPr="00E22C25">
        <w:rPr>
          <w:rFonts w:ascii="Arial" w:hAnsi="Arial" w:cs="Arial"/>
          <w:sz w:val="20"/>
          <w:szCs w:val="20"/>
        </w:rPr>
        <w:t xml:space="preserve">J-P. </w:t>
      </w:r>
      <w:proofErr w:type="spellStart"/>
      <w:r w:rsidRPr="00E22C25">
        <w:rPr>
          <w:rFonts w:ascii="Arial" w:hAnsi="Arial" w:cs="Arial"/>
          <w:sz w:val="20"/>
          <w:szCs w:val="20"/>
        </w:rPr>
        <w:t>Betbèze</w:t>
      </w:r>
      <w:proofErr w:type="spellEnd"/>
      <w:r w:rsidRPr="00E22C25">
        <w:rPr>
          <w:rFonts w:ascii="Arial" w:hAnsi="Arial" w:cs="Arial"/>
          <w:sz w:val="20"/>
          <w:szCs w:val="20"/>
        </w:rPr>
        <w:t xml:space="preserve">, C. Bordes, J. </w:t>
      </w:r>
      <w:proofErr w:type="spellStart"/>
      <w:r w:rsidRPr="00E22C25">
        <w:rPr>
          <w:rFonts w:ascii="Arial" w:hAnsi="Arial" w:cs="Arial"/>
          <w:sz w:val="20"/>
          <w:szCs w:val="20"/>
        </w:rPr>
        <w:t>Couppey-Soubeyran</w:t>
      </w:r>
      <w:proofErr w:type="spellEnd"/>
      <w:r w:rsidRPr="00E22C25">
        <w:rPr>
          <w:rFonts w:ascii="Arial" w:hAnsi="Arial" w:cs="Arial"/>
          <w:sz w:val="20"/>
          <w:szCs w:val="20"/>
        </w:rPr>
        <w:t xml:space="preserve"> et D. </w:t>
      </w:r>
      <w:proofErr w:type="spellStart"/>
      <w:r w:rsidRPr="00E22C25">
        <w:rPr>
          <w:rFonts w:ascii="Arial" w:hAnsi="Arial" w:cs="Arial"/>
          <w:sz w:val="20"/>
          <w:szCs w:val="20"/>
        </w:rPr>
        <w:t>Plihon</w:t>
      </w:r>
      <w:proofErr w:type="spellEnd"/>
      <w:r w:rsidRPr="00E22C25">
        <w:rPr>
          <w:rFonts w:ascii="Arial" w:hAnsi="Arial" w:cs="Arial"/>
          <w:sz w:val="20"/>
          <w:szCs w:val="20"/>
        </w:rPr>
        <w:t xml:space="preserve">, </w:t>
      </w:r>
      <w:r w:rsidRPr="00E22C25">
        <w:rPr>
          <w:rFonts w:ascii="Arial" w:hAnsi="Arial" w:cs="Arial"/>
          <w:i/>
          <w:sz w:val="20"/>
          <w:szCs w:val="20"/>
        </w:rPr>
        <w:t>Banques centrales et stabilité financière</w:t>
      </w:r>
      <w:r w:rsidRPr="00E22C25">
        <w:rPr>
          <w:rFonts w:ascii="Arial" w:hAnsi="Arial" w:cs="Arial"/>
          <w:sz w:val="20"/>
          <w:szCs w:val="20"/>
        </w:rPr>
        <w:t>, rapport du CAE, La documentation française</w:t>
      </w:r>
      <w:r w:rsidR="00162F48" w:rsidRPr="00E22C25">
        <w:rPr>
          <w:rFonts w:ascii="Arial" w:hAnsi="Arial" w:cs="Arial"/>
          <w:sz w:val="20"/>
          <w:szCs w:val="20"/>
        </w:rPr>
        <w:t xml:space="preserve"> 2011</w:t>
      </w:r>
      <w:r w:rsidRPr="00E22C25">
        <w:rPr>
          <w:rFonts w:ascii="Arial" w:hAnsi="Arial" w:cs="Arial"/>
          <w:i/>
          <w:sz w:val="20"/>
          <w:szCs w:val="20"/>
        </w:rPr>
        <w:t xml:space="preserve"> </w:t>
      </w:r>
    </w:p>
    <w:p w:rsidR="00162F48" w:rsidRPr="00E22C25" w:rsidRDefault="00162F48" w:rsidP="004F29C7">
      <w:pPr>
        <w:spacing w:line="240" w:lineRule="auto"/>
        <w:jc w:val="both"/>
        <w:rPr>
          <w:rFonts w:ascii="Arial" w:hAnsi="Arial" w:cs="Arial"/>
          <w:sz w:val="20"/>
          <w:szCs w:val="20"/>
        </w:rPr>
      </w:pPr>
    </w:p>
    <w:p w:rsidR="0021467F" w:rsidRPr="0003696B" w:rsidRDefault="00162F48" w:rsidP="004F29C7">
      <w:pPr>
        <w:spacing w:line="240" w:lineRule="auto"/>
        <w:jc w:val="both"/>
        <w:rPr>
          <w:rFonts w:ascii="Arial" w:hAnsi="Arial" w:cs="Arial"/>
          <w:b/>
          <w:sz w:val="20"/>
          <w:szCs w:val="20"/>
          <w:u w:val="single"/>
        </w:rPr>
      </w:pPr>
      <w:r w:rsidRPr="0003696B">
        <w:rPr>
          <w:rFonts w:ascii="Arial" w:hAnsi="Arial" w:cs="Arial"/>
          <w:b/>
          <w:sz w:val="20"/>
          <w:szCs w:val="20"/>
          <w:u w:val="single"/>
        </w:rPr>
        <w:t>Document </w:t>
      </w:r>
      <w:r w:rsidR="001655A8">
        <w:rPr>
          <w:rFonts w:ascii="Arial" w:hAnsi="Arial" w:cs="Arial"/>
          <w:b/>
          <w:sz w:val="20"/>
          <w:szCs w:val="20"/>
          <w:u w:val="single"/>
        </w:rPr>
        <w:t>37</w:t>
      </w:r>
      <w:r w:rsidR="0003696B" w:rsidRPr="0003696B">
        <w:rPr>
          <w:rFonts w:ascii="Arial" w:hAnsi="Arial" w:cs="Arial"/>
          <w:b/>
          <w:sz w:val="20"/>
          <w:szCs w:val="20"/>
          <w:u w:val="single"/>
        </w:rPr>
        <w:t xml:space="preserve"> </w:t>
      </w:r>
      <w:r w:rsidRPr="0003696B">
        <w:rPr>
          <w:rFonts w:ascii="Arial" w:hAnsi="Arial" w:cs="Arial"/>
          <w:b/>
          <w:sz w:val="20"/>
          <w:szCs w:val="20"/>
          <w:u w:val="single"/>
        </w:rPr>
        <w:t>: Le paradoxe de la crédibilité illustre la complexité des liens entre stabilité monétaire et stabilité financière</w:t>
      </w:r>
    </w:p>
    <w:p w:rsidR="00162F48" w:rsidRPr="00E22C25" w:rsidRDefault="00162F48" w:rsidP="004F29C7">
      <w:pPr>
        <w:spacing w:line="240" w:lineRule="auto"/>
        <w:jc w:val="both"/>
        <w:rPr>
          <w:rFonts w:ascii="Arial" w:hAnsi="Arial" w:cs="Arial"/>
          <w:sz w:val="20"/>
          <w:szCs w:val="20"/>
        </w:rPr>
      </w:pPr>
      <w:r w:rsidRPr="00E22C25">
        <w:rPr>
          <w:rFonts w:ascii="Arial" w:hAnsi="Arial" w:cs="Arial"/>
          <w:sz w:val="20"/>
          <w:szCs w:val="20"/>
        </w:rPr>
        <w:t>Jusqu’à la crise, les banques centrales avaient construit leurs stratégies sur l’hypothèse que la stabilité monétaire conduirait nécessairement à la stabilité financière et à une croissance économique durable. Longtemps, la Grande modération avait semblé leur donner raison. Mais la crise a remis en cause cette vision, montrant, au contraire, qu’une politique de stabilité monétaire pouvait favoriser les bulles et les déséquilibres financiers</w:t>
      </w:r>
      <w:r w:rsidR="00D6241E">
        <w:rPr>
          <w:rFonts w:ascii="Arial" w:hAnsi="Arial" w:cs="Arial"/>
          <w:sz w:val="20"/>
          <w:szCs w:val="20"/>
        </w:rPr>
        <w:t>.</w:t>
      </w:r>
      <w:r w:rsidRPr="00E22C25">
        <w:rPr>
          <w:rFonts w:ascii="Arial" w:hAnsi="Arial" w:cs="Arial"/>
          <w:sz w:val="20"/>
          <w:szCs w:val="20"/>
        </w:rPr>
        <w:t xml:space="preserve"> Rétrospectivement, il se dégage un large consensus autour de l’idée que la stabilité monétaire des années 1990-2000 s’est révélée préjudiciable à la stabilité financière puisqu’elle a incité les acteurs économiques, et tout particulièrement les banques, à prendre davantage de risques. Dans ce contexte, ainsi que l’explique Claudio </w:t>
      </w:r>
      <w:proofErr w:type="spellStart"/>
      <w:r w:rsidRPr="00E22C25">
        <w:rPr>
          <w:rFonts w:ascii="Arial" w:hAnsi="Arial" w:cs="Arial"/>
          <w:sz w:val="20"/>
          <w:szCs w:val="20"/>
        </w:rPr>
        <w:t>Borio</w:t>
      </w:r>
      <w:proofErr w:type="spellEnd"/>
      <w:r w:rsidRPr="00E22C25">
        <w:rPr>
          <w:rFonts w:ascii="Arial" w:hAnsi="Arial" w:cs="Arial"/>
          <w:sz w:val="20"/>
          <w:szCs w:val="20"/>
        </w:rPr>
        <w:t xml:space="preserve">, la crédibilité des banques centrales a été une « épée à double tranchant » : elle explique à la fois leur succès passé et leur infortune actuelle. Les banques centrales sont parvenues dans les années quatre-vingt-dix à ancrer les anticipations des agents économiques à un niveau bas d’inflation. Mais, ce faisant, elles ont aussi contribué à nourrir un sentiment exagéré de sécurité et de confiance favorisant une prise de risque et un endettement excessif (voir </w:t>
      </w:r>
      <w:proofErr w:type="spellStart"/>
      <w:r w:rsidRPr="00E22C25">
        <w:rPr>
          <w:rFonts w:ascii="Arial" w:hAnsi="Arial" w:cs="Arial"/>
          <w:sz w:val="20"/>
          <w:szCs w:val="20"/>
        </w:rPr>
        <w:t>Borio</w:t>
      </w:r>
      <w:proofErr w:type="spellEnd"/>
      <w:r w:rsidRPr="00E22C25">
        <w:rPr>
          <w:rFonts w:ascii="Arial" w:hAnsi="Arial" w:cs="Arial"/>
          <w:sz w:val="20"/>
          <w:szCs w:val="20"/>
        </w:rPr>
        <w:t xml:space="preserve"> et Lowe, 2002). Ce « paradoxe de la crédibilité » en rejoint un autre, développé par </w:t>
      </w:r>
      <w:proofErr w:type="spellStart"/>
      <w:r w:rsidRPr="00E22C25">
        <w:rPr>
          <w:rFonts w:ascii="Arial" w:hAnsi="Arial" w:cs="Arial"/>
          <w:sz w:val="20"/>
          <w:szCs w:val="20"/>
        </w:rPr>
        <w:t>Hyman</w:t>
      </w:r>
      <w:proofErr w:type="spellEnd"/>
      <w:r w:rsidRPr="00E22C25">
        <w:rPr>
          <w:rFonts w:ascii="Arial" w:hAnsi="Arial" w:cs="Arial"/>
          <w:sz w:val="20"/>
          <w:szCs w:val="20"/>
        </w:rPr>
        <w:t xml:space="preserve"> </w:t>
      </w:r>
      <w:proofErr w:type="spellStart"/>
      <w:r w:rsidRPr="00E22C25">
        <w:rPr>
          <w:rFonts w:ascii="Arial" w:hAnsi="Arial" w:cs="Arial"/>
          <w:sz w:val="20"/>
          <w:szCs w:val="20"/>
        </w:rPr>
        <w:t>Minsky</w:t>
      </w:r>
      <w:proofErr w:type="spellEnd"/>
      <w:r w:rsidRPr="00E22C25">
        <w:rPr>
          <w:rFonts w:ascii="Arial" w:hAnsi="Arial" w:cs="Arial"/>
          <w:sz w:val="20"/>
          <w:szCs w:val="20"/>
        </w:rPr>
        <w:t xml:space="preserve"> dans les années soixante-dix : le « paradoxe de la tranquillité ». Selon cette analyse, les crises de surendettement se préparent lorsque tout va bien et que les agents économiques (ménages, entreprises) profitent de la croissance et des taux d’intérêt bas non seulement pour emprunter, ce qui serait individuellement rationnel, mais pour emprunter trop, et d’une manière contagieuse. Lorsque les taux d’intérêt se retournent, en particulier du fait du resserrement de la politique monétaire, l’endettement qui paraissait soutenable compte tenu du niveau modéré des taux d’intérêt, devient insupportable et vire au surendettement. La séquence ainsi décrite correspond bien aux étapes qui ont conduit à la crise des </w:t>
      </w:r>
      <w:proofErr w:type="spellStart"/>
      <w:r w:rsidRPr="00E22C25">
        <w:rPr>
          <w:rFonts w:ascii="Arial" w:hAnsi="Arial" w:cs="Arial"/>
          <w:sz w:val="20"/>
          <w:szCs w:val="20"/>
        </w:rPr>
        <w:t>subprimes</w:t>
      </w:r>
      <w:proofErr w:type="spellEnd"/>
      <w:r w:rsidRPr="00E22C25">
        <w:rPr>
          <w:rFonts w:ascii="Arial" w:hAnsi="Arial" w:cs="Arial"/>
          <w:sz w:val="20"/>
          <w:szCs w:val="20"/>
        </w:rPr>
        <w:t xml:space="preserve"> de 2007. La crédibilité des banques centrales peut également favoriser l’instabilité en retardant la réaction de ces dernières. Marvin </w:t>
      </w:r>
      <w:proofErr w:type="spellStart"/>
      <w:r w:rsidRPr="00E22C25">
        <w:rPr>
          <w:rFonts w:ascii="Arial" w:hAnsi="Arial" w:cs="Arial"/>
          <w:sz w:val="20"/>
          <w:szCs w:val="20"/>
        </w:rPr>
        <w:t>Goodfriend</w:t>
      </w:r>
      <w:proofErr w:type="spellEnd"/>
      <w:r w:rsidRPr="00E22C25">
        <w:rPr>
          <w:rFonts w:ascii="Arial" w:hAnsi="Arial" w:cs="Arial"/>
          <w:sz w:val="20"/>
          <w:szCs w:val="20"/>
        </w:rPr>
        <w:t xml:space="preserve"> (2001) fut le premier à expliquer que la Banque centrale peut se laisser leurrer par sa crédibilité et ne pas réagir suffisamment vite à une contraction de l’activité et favoriser ainsi un contexte de déflation et de stagnation. Cette idée est reprise par </w:t>
      </w:r>
      <w:proofErr w:type="spellStart"/>
      <w:r w:rsidRPr="00E22C25">
        <w:rPr>
          <w:rFonts w:ascii="Arial" w:hAnsi="Arial" w:cs="Arial"/>
          <w:sz w:val="20"/>
          <w:szCs w:val="20"/>
        </w:rPr>
        <w:t>Borio</w:t>
      </w:r>
      <w:proofErr w:type="spellEnd"/>
      <w:r w:rsidRPr="00E22C25">
        <w:rPr>
          <w:rFonts w:ascii="Arial" w:hAnsi="Arial" w:cs="Arial"/>
          <w:sz w:val="20"/>
          <w:szCs w:val="20"/>
        </w:rPr>
        <w:t xml:space="preserve"> et White (2003) : lorsque la Banque centrale est crédible, les anticipations d’inflation sont ancrées sur l’objectif de long terme de celle-ci. Une liquidité abondante mettra alors beaucoup de temps à se transformer en inflation : les banques centrales tarderont trop à relever leur taux d’intérêt pour empêcher la formation de déséquilibres financiers.</w:t>
      </w:r>
      <w:r w:rsidR="00662F2C" w:rsidRPr="00E22C25">
        <w:rPr>
          <w:rFonts w:ascii="Arial" w:hAnsi="Arial" w:cs="Arial"/>
          <w:sz w:val="20"/>
          <w:szCs w:val="20"/>
        </w:rPr>
        <w:t xml:space="preserve"> […]</w:t>
      </w:r>
    </w:p>
    <w:p w:rsidR="00662F2C" w:rsidRPr="00E22C25" w:rsidRDefault="00662F2C" w:rsidP="004F29C7">
      <w:pPr>
        <w:spacing w:line="240" w:lineRule="auto"/>
        <w:jc w:val="both"/>
        <w:rPr>
          <w:rFonts w:ascii="Arial" w:hAnsi="Arial" w:cs="Arial"/>
          <w:sz w:val="20"/>
          <w:szCs w:val="20"/>
        </w:rPr>
      </w:pPr>
      <w:r w:rsidRPr="00E22C25">
        <w:rPr>
          <w:rFonts w:ascii="Arial" w:hAnsi="Arial" w:cs="Arial"/>
          <w:sz w:val="20"/>
          <w:szCs w:val="20"/>
        </w:rPr>
        <w:t>En bref, stabilité monétaire et stabilité financière entretiennent des relations d’interdépendance tantôt convergentes, tantôt conflictuelles, qui empêchent de subordonner ces deux missions l’une à l’autre. Elles doivent être menées ensemble, au moyen d’une panoplie d’instruments suffisamment étendue pour faire face aux situations éventuelles de conflits. Or, tout au long des années 1990-2000, la stabilité financière a été largement subordonnée à la mission prioritaire de stabilité monétaire.</w:t>
      </w:r>
    </w:p>
    <w:p w:rsidR="00662F2C" w:rsidRPr="00E22C25" w:rsidRDefault="00662F2C" w:rsidP="00016BE5">
      <w:pPr>
        <w:spacing w:line="240" w:lineRule="auto"/>
        <w:ind w:left="567"/>
        <w:jc w:val="both"/>
        <w:rPr>
          <w:rFonts w:ascii="Arial" w:hAnsi="Arial" w:cs="Arial"/>
          <w:i/>
          <w:sz w:val="20"/>
          <w:szCs w:val="20"/>
        </w:rPr>
      </w:pPr>
      <w:r w:rsidRPr="00E22C25">
        <w:rPr>
          <w:rFonts w:ascii="Arial" w:hAnsi="Arial" w:cs="Arial"/>
          <w:sz w:val="20"/>
          <w:szCs w:val="20"/>
        </w:rPr>
        <w:t xml:space="preserve">J-P. </w:t>
      </w:r>
      <w:proofErr w:type="spellStart"/>
      <w:r w:rsidRPr="00E22C25">
        <w:rPr>
          <w:rFonts w:ascii="Arial" w:hAnsi="Arial" w:cs="Arial"/>
          <w:sz w:val="20"/>
          <w:szCs w:val="20"/>
        </w:rPr>
        <w:t>Betbèze</w:t>
      </w:r>
      <w:proofErr w:type="spellEnd"/>
      <w:r w:rsidRPr="00E22C25">
        <w:rPr>
          <w:rFonts w:ascii="Arial" w:hAnsi="Arial" w:cs="Arial"/>
          <w:sz w:val="20"/>
          <w:szCs w:val="20"/>
        </w:rPr>
        <w:t xml:space="preserve">, C. Bordes, J. </w:t>
      </w:r>
      <w:proofErr w:type="spellStart"/>
      <w:r w:rsidRPr="00E22C25">
        <w:rPr>
          <w:rFonts w:ascii="Arial" w:hAnsi="Arial" w:cs="Arial"/>
          <w:sz w:val="20"/>
          <w:szCs w:val="20"/>
        </w:rPr>
        <w:t>Couppey-Soubeyran</w:t>
      </w:r>
      <w:proofErr w:type="spellEnd"/>
      <w:r w:rsidRPr="00E22C25">
        <w:rPr>
          <w:rFonts w:ascii="Arial" w:hAnsi="Arial" w:cs="Arial"/>
          <w:sz w:val="20"/>
          <w:szCs w:val="20"/>
        </w:rPr>
        <w:t xml:space="preserve"> et D. </w:t>
      </w:r>
      <w:proofErr w:type="spellStart"/>
      <w:r w:rsidRPr="00E22C25">
        <w:rPr>
          <w:rFonts w:ascii="Arial" w:hAnsi="Arial" w:cs="Arial"/>
          <w:sz w:val="20"/>
          <w:szCs w:val="20"/>
        </w:rPr>
        <w:t>Plihon</w:t>
      </w:r>
      <w:proofErr w:type="spellEnd"/>
      <w:r w:rsidRPr="00E22C25">
        <w:rPr>
          <w:rFonts w:ascii="Arial" w:hAnsi="Arial" w:cs="Arial"/>
          <w:sz w:val="20"/>
          <w:szCs w:val="20"/>
        </w:rPr>
        <w:t xml:space="preserve">, </w:t>
      </w:r>
      <w:r w:rsidRPr="00E22C25">
        <w:rPr>
          <w:rFonts w:ascii="Arial" w:hAnsi="Arial" w:cs="Arial"/>
          <w:i/>
          <w:sz w:val="20"/>
          <w:szCs w:val="20"/>
        </w:rPr>
        <w:t>Banques centrales et stabilité financière</w:t>
      </w:r>
      <w:r w:rsidRPr="00E22C25">
        <w:rPr>
          <w:rFonts w:ascii="Arial" w:hAnsi="Arial" w:cs="Arial"/>
          <w:sz w:val="20"/>
          <w:szCs w:val="20"/>
        </w:rPr>
        <w:t>, rapport du CAE, La documentation française 2011</w:t>
      </w:r>
      <w:r w:rsidRPr="00E22C25">
        <w:rPr>
          <w:rFonts w:ascii="Arial" w:hAnsi="Arial" w:cs="Arial"/>
          <w:i/>
          <w:sz w:val="20"/>
          <w:szCs w:val="20"/>
        </w:rPr>
        <w:t xml:space="preserve"> </w:t>
      </w:r>
    </w:p>
    <w:p w:rsidR="00016BE5" w:rsidRDefault="00016BE5" w:rsidP="004F29C7">
      <w:pPr>
        <w:spacing w:line="240" w:lineRule="auto"/>
        <w:jc w:val="both"/>
        <w:rPr>
          <w:rFonts w:ascii="Arial" w:hAnsi="Arial" w:cs="Arial"/>
          <w:sz w:val="20"/>
          <w:szCs w:val="20"/>
        </w:rPr>
      </w:pPr>
    </w:p>
    <w:p w:rsidR="00662F2C" w:rsidRPr="00016BE5" w:rsidRDefault="00931140" w:rsidP="004F29C7">
      <w:pPr>
        <w:spacing w:line="240" w:lineRule="auto"/>
        <w:jc w:val="both"/>
        <w:rPr>
          <w:rFonts w:ascii="Arial" w:hAnsi="Arial" w:cs="Arial"/>
          <w:b/>
          <w:sz w:val="20"/>
          <w:szCs w:val="20"/>
          <w:u w:val="single"/>
        </w:rPr>
      </w:pPr>
      <w:r w:rsidRPr="00016BE5">
        <w:rPr>
          <w:rFonts w:ascii="Arial" w:hAnsi="Arial" w:cs="Arial"/>
          <w:b/>
          <w:sz w:val="20"/>
          <w:szCs w:val="20"/>
          <w:u w:val="single"/>
        </w:rPr>
        <w:t>Document</w:t>
      </w:r>
      <w:r w:rsidR="001655A8">
        <w:rPr>
          <w:rFonts w:ascii="Arial" w:hAnsi="Arial" w:cs="Arial"/>
          <w:b/>
          <w:sz w:val="20"/>
          <w:szCs w:val="20"/>
          <w:u w:val="single"/>
        </w:rPr>
        <w:t xml:space="preserve"> 38</w:t>
      </w:r>
      <w:r w:rsidRPr="00016BE5">
        <w:rPr>
          <w:rFonts w:ascii="Arial" w:hAnsi="Arial" w:cs="Arial"/>
          <w:b/>
          <w:sz w:val="20"/>
          <w:szCs w:val="20"/>
          <w:u w:val="single"/>
        </w:rPr>
        <w:t> : la coordination incontournable entre politique monétaire et budgétaire</w:t>
      </w:r>
    </w:p>
    <w:p w:rsidR="00DA5BCA" w:rsidRPr="00E22C25" w:rsidRDefault="00DA5BCA" w:rsidP="00C92567">
      <w:pPr>
        <w:spacing w:after="0" w:line="240" w:lineRule="auto"/>
        <w:jc w:val="both"/>
        <w:rPr>
          <w:rFonts w:ascii="Arial" w:hAnsi="Arial" w:cs="Arial"/>
          <w:sz w:val="20"/>
          <w:szCs w:val="20"/>
        </w:rPr>
      </w:pPr>
      <w:r w:rsidRPr="00E22C25">
        <w:rPr>
          <w:rFonts w:ascii="Arial" w:hAnsi="Arial" w:cs="Arial"/>
          <w:sz w:val="20"/>
          <w:szCs w:val="20"/>
        </w:rPr>
        <w:t>Dans un univers incertain, les comportements individuels ne sont pas régis par des attitudes psy</w:t>
      </w:r>
      <w:r w:rsidRPr="00E22C25">
        <w:rPr>
          <w:rFonts w:ascii="Arial" w:hAnsi="Arial" w:cs="Arial"/>
          <w:sz w:val="20"/>
          <w:szCs w:val="20"/>
        </w:rPr>
        <w:softHyphen/>
        <w:t>chologiques exogènes. Le prix du risque est une convention collective variable qui est produite par l'interaction des acteurs dans les marchés finan</w:t>
      </w:r>
      <w:r w:rsidRPr="00E22C25">
        <w:rPr>
          <w:rFonts w:ascii="Arial" w:hAnsi="Arial" w:cs="Arial"/>
          <w:sz w:val="20"/>
          <w:szCs w:val="20"/>
        </w:rPr>
        <w:softHyphen/>
        <w:t xml:space="preserve">ciers. De là vient la possibilité du </w:t>
      </w:r>
      <w:proofErr w:type="spellStart"/>
      <w:r w:rsidRPr="00E22C25">
        <w:rPr>
          <w:rFonts w:ascii="Arial" w:hAnsi="Arial" w:cs="Arial"/>
          <w:sz w:val="20"/>
          <w:szCs w:val="20"/>
        </w:rPr>
        <w:t>momentum</w:t>
      </w:r>
      <w:proofErr w:type="spellEnd"/>
      <w:r w:rsidRPr="00E22C25">
        <w:rPr>
          <w:rFonts w:ascii="Arial" w:hAnsi="Arial" w:cs="Arial"/>
          <w:sz w:val="20"/>
          <w:szCs w:val="20"/>
        </w:rPr>
        <w:t xml:space="preserve"> qui est une logique d'amplification du cercle vicieux endettement/hausse du prix des actifs lorsque le prix du risque baisse fortement. Le dilemme de la finance en résulte: plus le prix du risque incor</w:t>
      </w:r>
      <w:r w:rsidRPr="00E22C25">
        <w:rPr>
          <w:rFonts w:ascii="Arial" w:hAnsi="Arial" w:cs="Arial"/>
          <w:sz w:val="20"/>
          <w:szCs w:val="20"/>
        </w:rPr>
        <w:softHyphen/>
        <w:t xml:space="preserve">poré dans les rendements des actifs est bas, plus la finance est vulnérable au risque systémique. Le risque est surévalué et devient systémique dans les crises parce qu'il a été sous-évalué dans les euphories collectives antérieures. La politique monétaire est prise dans le même dilemme: une politique qui favorise une diminution forte du prix </w:t>
      </w:r>
      <w:r w:rsidRPr="00E22C25">
        <w:rPr>
          <w:rFonts w:ascii="Arial" w:hAnsi="Arial" w:cs="Arial"/>
          <w:sz w:val="20"/>
          <w:szCs w:val="20"/>
        </w:rPr>
        <w:lastRenderedPageBreak/>
        <w:t xml:space="preserve">du risque parce que l'inflation est basse provoque les vulnérabilités financières qui vont faire bondir le prix du risque ultérieurement. </w:t>
      </w:r>
    </w:p>
    <w:p w:rsidR="00DA5BCA" w:rsidRPr="00E22C25" w:rsidRDefault="00DA5BCA" w:rsidP="00C92567">
      <w:pPr>
        <w:spacing w:after="0" w:line="240" w:lineRule="auto"/>
        <w:jc w:val="both"/>
        <w:rPr>
          <w:rFonts w:ascii="Arial" w:hAnsi="Arial" w:cs="Arial"/>
          <w:sz w:val="20"/>
          <w:szCs w:val="20"/>
        </w:rPr>
      </w:pPr>
      <w:r w:rsidRPr="00E22C25">
        <w:rPr>
          <w:rFonts w:ascii="Arial" w:hAnsi="Arial" w:cs="Arial"/>
          <w:sz w:val="20"/>
          <w:szCs w:val="20"/>
        </w:rPr>
        <w:t>Pour éviter que les banques centrales ne soient contraintes à des sauvetages a posteriori, dont ni l'ampleur ni la durée ne peuvent être maîtrisées, la politique macroprudentielle est un nouvel outil dédié à la stabilité du système financier dans son ensemble. Pour réaliser cet objectif, la politique macroprudentielle doit maintenir le prix du risque à un niveau suffisamment élevé dans la phase d'expansion financière pour éviter qu'il ne s'élève de manière destructrice dans la phase de retour</w:t>
      </w:r>
      <w:r w:rsidRPr="00E22C25">
        <w:rPr>
          <w:rFonts w:ascii="Arial" w:hAnsi="Arial" w:cs="Arial"/>
          <w:sz w:val="20"/>
          <w:szCs w:val="20"/>
        </w:rPr>
        <w:softHyphen/>
        <w:t xml:space="preserve">nement. Il s'agit donc d'influencer l'arbitrage prix du risque/probabilité de crise systémique qui est inhérent à l'instabilité intrinsèque de la finance. Pour modifier les conditions de cet arbitrage, il faut agir sur les vulnérabilités sous-jacentes, structurelles et dynamiques. Les vulnérabilités structurelles proviennent des interconnexions et des complexités de l'intermédiation de marché. Les vulnérabilités dynamiques sont endogènes au cycle financier. Ce sont les leviers croissants des intermédiaires liés au </w:t>
      </w:r>
      <w:proofErr w:type="spellStart"/>
      <w:r w:rsidRPr="00E22C25">
        <w:rPr>
          <w:rFonts w:ascii="Arial" w:hAnsi="Arial" w:cs="Arial"/>
          <w:sz w:val="20"/>
          <w:szCs w:val="20"/>
        </w:rPr>
        <w:t>momentum</w:t>
      </w:r>
      <w:proofErr w:type="spellEnd"/>
      <w:r w:rsidRPr="00E22C25">
        <w:rPr>
          <w:rFonts w:ascii="Arial" w:hAnsi="Arial" w:cs="Arial"/>
          <w:sz w:val="20"/>
          <w:szCs w:val="20"/>
        </w:rPr>
        <w:t xml:space="preserve"> des prix d'actifs et les </w:t>
      </w:r>
      <w:proofErr w:type="spellStart"/>
      <w:r w:rsidRPr="00E22C25">
        <w:rPr>
          <w:rFonts w:ascii="Arial" w:hAnsi="Arial" w:cs="Arial"/>
          <w:i/>
          <w:iCs/>
          <w:sz w:val="20"/>
          <w:szCs w:val="20"/>
        </w:rPr>
        <w:t>mismatchs</w:t>
      </w:r>
      <w:proofErr w:type="spellEnd"/>
      <w:r w:rsidRPr="00E22C25">
        <w:rPr>
          <w:rFonts w:ascii="Arial" w:hAnsi="Arial" w:cs="Arial"/>
          <w:i/>
          <w:iCs/>
          <w:sz w:val="20"/>
          <w:szCs w:val="20"/>
        </w:rPr>
        <w:t xml:space="preserve"> </w:t>
      </w:r>
      <w:r w:rsidRPr="00E22C25">
        <w:rPr>
          <w:rFonts w:ascii="Arial" w:hAnsi="Arial" w:cs="Arial"/>
          <w:sz w:val="20"/>
          <w:szCs w:val="20"/>
        </w:rPr>
        <w:t xml:space="preserve">grandissants d'échéances par recours au marché de dettes de plus en plus courtes pour financer des actifs longs et </w:t>
      </w:r>
      <w:proofErr w:type="spellStart"/>
      <w:r w:rsidRPr="00E22C25">
        <w:rPr>
          <w:rFonts w:ascii="Arial" w:hAnsi="Arial" w:cs="Arial"/>
          <w:sz w:val="20"/>
          <w:szCs w:val="20"/>
        </w:rPr>
        <w:t>illiquides</w:t>
      </w:r>
      <w:proofErr w:type="spellEnd"/>
      <w:r w:rsidRPr="00E22C25">
        <w:rPr>
          <w:rFonts w:ascii="Arial" w:hAnsi="Arial" w:cs="Arial"/>
          <w:sz w:val="20"/>
          <w:szCs w:val="20"/>
        </w:rPr>
        <w:t>. Contrôler et modérer ces vulnérabilités est l'enjeu de la politique macroprudentielle. Par leurs com</w:t>
      </w:r>
      <w:r w:rsidRPr="00E22C25">
        <w:rPr>
          <w:rFonts w:ascii="Arial" w:hAnsi="Arial" w:cs="Arial"/>
          <w:sz w:val="20"/>
          <w:szCs w:val="20"/>
        </w:rPr>
        <w:softHyphen/>
        <w:t>posantes dynamiques, les vulnérabilités évoluent dans le cycle financier. Il s'ensuit que la politique macroprudentielle ne peut pas être indépendante de la politique monétaire. Les indicateurs du risque systémique et les instruments pour les maî</w:t>
      </w:r>
      <w:r w:rsidRPr="00E22C25">
        <w:rPr>
          <w:rFonts w:ascii="Arial" w:hAnsi="Arial" w:cs="Arial"/>
          <w:sz w:val="20"/>
          <w:szCs w:val="20"/>
        </w:rPr>
        <w:softHyphen/>
        <w:t xml:space="preserve">triser doivent être incorporés dans une politique monétaire élargie à l'objectif de préservation de la stabilité financière, c'est-à-dire réduire l'amplitude du cycle financier pour modérer la fréquence et la sévérité des crises. </w:t>
      </w:r>
    </w:p>
    <w:p w:rsidR="006F1921" w:rsidRPr="00E22C25" w:rsidRDefault="00DA5BCA" w:rsidP="00C92567">
      <w:pPr>
        <w:spacing w:after="0" w:line="240" w:lineRule="auto"/>
        <w:jc w:val="both"/>
        <w:rPr>
          <w:rFonts w:ascii="Arial" w:hAnsi="Arial" w:cs="Arial"/>
          <w:sz w:val="20"/>
          <w:szCs w:val="20"/>
        </w:rPr>
      </w:pPr>
      <w:r w:rsidRPr="00E22C25">
        <w:rPr>
          <w:rFonts w:ascii="Arial" w:hAnsi="Arial" w:cs="Arial"/>
          <w:sz w:val="20"/>
          <w:szCs w:val="20"/>
        </w:rPr>
        <w:t>Le dogme selon lequel la politique monétaire doit être indépendante de la politique budgé</w:t>
      </w:r>
      <w:r w:rsidRPr="00E22C25">
        <w:rPr>
          <w:rFonts w:ascii="Arial" w:hAnsi="Arial" w:cs="Arial"/>
          <w:sz w:val="20"/>
          <w:szCs w:val="20"/>
        </w:rPr>
        <w:softHyphen/>
        <w:t>taire n'a pas de sens dans le cycle financier. Après le retournement des prix d'actifs, les périodes de désendettement du secteur privé s'accompagnent initialement d'une hausse de l'endettement du secteur public. La question fondamentale de la politique budgétaire est celle du rythme de désendettement public contingent au rythme de désendettement privé. L'articulation des politiques monétaire et budgé</w:t>
      </w:r>
      <w:r w:rsidRPr="00E22C25">
        <w:rPr>
          <w:rFonts w:ascii="Arial" w:hAnsi="Arial" w:cs="Arial"/>
          <w:sz w:val="20"/>
          <w:szCs w:val="20"/>
        </w:rPr>
        <w:softHyphen/>
        <w:t>taire est le pivot d'une stratégie de désendette</w:t>
      </w:r>
      <w:r w:rsidRPr="00E22C25">
        <w:rPr>
          <w:rFonts w:ascii="Arial" w:hAnsi="Arial" w:cs="Arial"/>
          <w:sz w:val="20"/>
          <w:szCs w:val="20"/>
        </w:rPr>
        <w:softHyphen/>
        <w:t>ment. En modulant le rythme de la consolidation budgétaire sur le rythme de désendettement privé, la politique budgétaire permet de sou</w:t>
      </w:r>
      <w:r w:rsidRPr="00E22C25">
        <w:rPr>
          <w:rFonts w:ascii="Arial" w:hAnsi="Arial" w:cs="Arial"/>
          <w:sz w:val="20"/>
          <w:szCs w:val="20"/>
        </w:rPr>
        <w:softHyphen/>
        <w:t>tenir le revenu nominal. L'objectif de revenu nominal et le désendettement privé contingent</w:t>
      </w:r>
      <w:r w:rsidR="006F1921" w:rsidRPr="00E22C25">
        <w:rPr>
          <w:rFonts w:ascii="Arial" w:hAnsi="Arial" w:cs="Arial"/>
          <w:sz w:val="20"/>
          <w:szCs w:val="20"/>
        </w:rPr>
        <w:t xml:space="preserve"> garantissent conjointement la soutenabilité de la </w:t>
      </w:r>
      <w:r w:rsidR="006F1921" w:rsidRPr="00F31C45">
        <w:rPr>
          <w:rFonts w:ascii="Arial" w:hAnsi="Arial" w:cs="Arial"/>
          <w:sz w:val="20"/>
          <w:szCs w:val="20"/>
        </w:rPr>
        <w:t xml:space="preserve">dette publique. Corrélativement, l'objectif de la banque centrale est de fait le soutien du revenu nominal. </w:t>
      </w:r>
      <w:r w:rsidR="006F1921" w:rsidRPr="00F31C45">
        <w:rPr>
          <w:rFonts w:ascii="Arial" w:hAnsi="Arial" w:cs="Arial"/>
          <w:bCs/>
          <w:sz w:val="20"/>
          <w:szCs w:val="20"/>
        </w:rPr>
        <w:t xml:space="preserve">Il </w:t>
      </w:r>
      <w:r w:rsidR="006F1921" w:rsidRPr="00F31C45">
        <w:rPr>
          <w:rFonts w:ascii="Arial" w:hAnsi="Arial" w:cs="Arial"/>
          <w:sz w:val="20"/>
          <w:szCs w:val="20"/>
        </w:rPr>
        <w:t>doit</w:t>
      </w:r>
      <w:r w:rsidR="006F1921" w:rsidRPr="00E22C25">
        <w:rPr>
          <w:rFonts w:ascii="Arial" w:hAnsi="Arial" w:cs="Arial"/>
          <w:sz w:val="20"/>
          <w:szCs w:val="20"/>
        </w:rPr>
        <w:t xml:space="preserve"> donc y avoir colla</w:t>
      </w:r>
      <w:r w:rsidR="006F1921" w:rsidRPr="00E22C25">
        <w:rPr>
          <w:rFonts w:ascii="Arial" w:hAnsi="Arial" w:cs="Arial"/>
          <w:sz w:val="20"/>
          <w:szCs w:val="20"/>
        </w:rPr>
        <w:softHyphen/>
        <w:t>boration entre les deux piliers d'une politique macroéconomique. En réduisant l'amplitude du cycle financier si elle est efficace, la politique macroprudentielle aide aussi parce qu'elle dimi</w:t>
      </w:r>
      <w:r w:rsidR="006F1921" w:rsidRPr="00E22C25">
        <w:rPr>
          <w:rFonts w:ascii="Arial" w:hAnsi="Arial" w:cs="Arial"/>
          <w:sz w:val="20"/>
          <w:szCs w:val="20"/>
        </w:rPr>
        <w:softHyphen/>
        <w:t xml:space="preserve">nue l'ampleur des déficits publics nécessaires dans la phase de retournement. </w:t>
      </w:r>
    </w:p>
    <w:p w:rsidR="006F1921" w:rsidRPr="00E22C25" w:rsidRDefault="006F1921" w:rsidP="00C92567">
      <w:pPr>
        <w:spacing w:after="0" w:line="240" w:lineRule="auto"/>
        <w:jc w:val="both"/>
        <w:rPr>
          <w:rFonts w:ascii="Arial" w:hAnsi="Arial" w:cs="Arial"/>
          <w:sz w:val="20"/>
          <w:szCs w:val="20"/>
        </w:rPr>
      </w:pPr>
      <w:r w:rsidRPr="00E22C25">
        <w:rPr>
          <w:rFonts w:ascii="Arial" w:hAnsi="Arial" w:cs="Arial"/>
          <w:sz w:val="20"/>
          <w:szCs w:val="20"/>
        </w:rPr>
        <w:t>La crise financière a fait faire un grand tour à la politique monétaire. Sous l'influence de la « nou</w:t>
      </w:r>
      <w:r w:rsidRPr="00E22C25">
        <w:rPr>
          <w:rFonts w:ascii="Arial" w:hAnsi="Arial" w:cs="Arial"/>
          <w:sz w:val="20"/>
          <w:szCs w:val="20"/>
        </w:rPr>
        <w:softHyphen/>
        <w:t>velle économie classique », qui avait radicalisé la vieille théorie monétariste par l'hypothèse d'anti</w:t>
      </w:r>
      <w:r w:rsidRPr="00E22C25">
        <w:rPr>
          <w:rFonts w:ascii="Arial" w:hAnsi="Arial" w:cs="Arial"/>
          <w:sz w:val="20"/>
          <w:szCs w:val="20"/>
        </w:rPr>
        <w:softHyphen/>
        <w:t>cipations rationnelles, la politique monétaire était restreinte à un instrument, le taux d'intérêt court, pour un objectif, l'inflation cible. La crise finan</w:t>
      </w:r>
      <w:r w:rsidRPr="00E22C25">
        <w:rPr>
          <w:rFonts w:ascii="Arial" w:hAnsi="Arial" w:cs="Arial"/>
          <w:sz w:val="20"/>
          <w:szCs w:val="20"/>
        </w:rPr>
        <w:softHyphen/>
        <w:t>cière a remis en question fondamentalem</w:t>
      </w:r>
      <w:r w:rsidR="001655A8">
        <w:rPr>
          <w:rFonts w:ascii="Arial" w:hAnsi="Arial" w:cs="Arial"/>
          <w:sz w:val="20"/>
          <w:szCs w:val="20"/>
        </w:rPr>
        <w:t xml:space="preserve">ent ces présupposés théoriques. Il </w:t>
      </w:r>
      <w:r w:rsidRPr="00E22C25">
        <w:rPr>
          <w:rFonts w:ascii="Arial" w:hAnsi="Arial" w:cs="Arial"/>
          <w:sz w:val="20"/>
          <w:szCs w:val="20"/>
        </w:rPr>
        <w:t>s'ensuit que la politique monétaire se trouve au confluent de trois objectifs: la stabilité du niveau général des prix (donc de la valeur de la monnaie), la stabilité financière, la soutenabilité de la dette publique. La théorie de la politique économique enseigne qu'il est possible de surmonter les conflits d'ob</w:t>
      </w:r>
      <w:r w:rsidRPr="00E22C25">
        <w:rPr>
          <w:rFonts w:ascii="Arial" w:hAnsi="Arial" w:cs="Arial"/>
          <w:sz w:val="20"/>
          <w:szCs w:val="20"/>
        </w:rPr>
        <w:softHyphen/>
        <w:t>jectifs si l'autorité en charge de la régulation macroéconomique dispose d'au moins autant d'instruments que d'objectifs. De plus, ces ins</w:t>
      </w:r>
      <w:r w:rsidRPr="00E22C25">
        <w:rPr>
          <w:rFonts w:ascii="Arial" w:hAnsi="Arial" w:cs="Arial"/>
          <w:sz w:val="20"/>
          <w:szCs w:val="20"/>
        </w:rPr>
        <w:softHyphen/>
        <w:t xml:space="preserve">truments doivent être affectés aux objectifs pour lesquels ils sont relativement les plus efficaces. </w:t>
      </w:r>
    </w:p>
    <w:p w:rsidR="00DA5BCA" w:rsidRPr="00E22C25" w:rsidRDefault="006F1921" w:rsidP="00C92567">
      <w:pPr>
        <w:spacing w:after="0" w:line="240" w:lineRule="auto"/>
        <w:jc w:val="both"/>
        <w:rPr>
          <w:rFonts w:ascii="Arial" w:hAnsi="Arial" w:cs="Arial"/>
          <w:sz w:val="20"/>
          <w:szCs w:val="20"/>
        </w:rPr>
      </w:pPr>
      <w:r w:rsidRPr="00E22C25">
        <w:rPr>
          <w:rFonts w:ascii="Arial" w:hAnsi="Arial" w:cs="Arial"/>
          <w:sz w:val="20"/>
          <w:szCs w:val="20"/>
        </w:rPr>
        <w:t>Cette redéfinition de la politique monétaire va au-delà des mesures d'exception provoquées par la crise financière. Les trois objectifs interdépen</w:t>
      </w:r>
      <w:r w:rsidRPr="00E22C25">
        <w:rPr>
          <w:rFonts w:ascii="Arial" w:hAnsi="Arial" w:cs="Arial"/>
          <w:sz w:val="20"/>
          <w:szCs w:val="20"/>
        </w:rPr>
        <w:softHyphen/>
        <w:t>dants ne peuvent être poursuivis dans l'intérêt du bien commun sans dialogue entre les autorités responsables de la politique économique.</w:t>
      </w:r>
    </w:p>
    <w:p w:rsidR="006F1921" w:rsidRPr="00E22C25" w:rsidRDefault="006F1921" w:rsidP="00C92567">
      <w:pPr>
        <w:spacing w:after="0" w:line="240" w:lineRule="auto"/>
        <w:ind w:left="567"/>
        <w:jc w:val="both"/>
        <w:rPr>
          <w:rFonts w:ascii="Arial" w:hAnsi="Arial" w:cs="Arial"/>
          <w:sz w:val="20"/>
          <w:szCs w:val="20"/>
        </w:rPr>
      </w:pPr>
      <w:proofErr w:type="spellStart"/>
      <w:r w:rsidRPr="00E22C25">
        <w:rPr>
          <w:rFonts w:ascii="Arial" w:hAnsi="Arial" w:cs="Arial"/>
          <w:sz w:val="20"/>
          <w:szCs w:val="20"/>
        </w:rPr>
        <w:t>M.Aglietta</w:t>
      </w:r>
      <w:proofErr w:type="spellEnd"/>
      <w:r w:rsidRPr="00E22C25">
        <w:rPr>
          <w:rFonts w:ascii="Arial" w:hAnsi="Arial" w:cs="Arial"/>
          <w:sz w:val="20"/>
          <w:szCs w:val="20"/>
        </w:rPr>
        <w:t xml:space="preserve">, </w:t>
      </w:r>
      <w:r w:rsidRPr="00E22C25">
        <w:rPr>
          <w:rFonts w:ascii="Arial" w:hAnsi="Arial" w:cs="Arial"/>
          <w:i/>
          <w:sz w:val="20"/>
          <w:szCs w:val="20"/>
        </w:rPr>
        <w:t>Repenser la politique monétaire</w:t>
      </w:r>
      <w:r w:rsidRPr="00E22C25">
        <w:rPr>
          <w:rFonts w:ascii="Arial" w:hAnsi="Arial" w:cs="Arial"/>
          <w:sz w:val="20"/>
          <w:szCs w:val="20"/>
        </w:rPr>
        <w:t xml:space="preserve">, in </w:t>
      </w:r>
      <w:r w:rsidRPr="00E22C25">
        <w:rPr>
          <w:rFonts w:ascii="Arial" w:hAnsi="Arial" w:cs="Arial"/>
          <w:i/>
          <w:sz w:val="20"/>
          <w:szCs w:val="20"/>
        </w:rPr>
        <w:t>Le nouveau rôle des banques centrales,</w:t>
      </w:r>
      <w:r w:rsidRPr="00E22C25">
        <w:rPr>
          <w:rFonts w:ascii="Arial" w:hAnsi="Arial" w:cs="Arial"/>
          <w:sz w:val="20"/>
          <w:szCs w:val="20"/>
        </w:rPr>
        <w:t xml:space="preserve"> Problèmes économiques 3126, La documentation française </w:t>
      </w:r>
      <w:r w:rsidR="00BF6032">
        <w:rPr>
          <w:rFonts w:ascii="Arial" w:hAnsi="Arial" w:cs="Arial"/>
          <w:sz w:val="20"/>
          <w:szCs w:val="20"/>
        </w:rPr>
        <w:t>02/</w:t>
      </w:r>
      <w:r w:rsidRPr="00E22C25">
        <w:rPr>
          <w:rFonts w:ascii="Arial" w:hAnsi="Arial" w:cs="Arial"/>
          <w:sz w:val="20"/>
          <w:szCs w:val="20"/>
        </w:rPr>
        <w:t>2016</w:t>
      </w:r>
    </w:p>
    <w:p w:rsidR="00DA5BCA" w:rsidRPr="00E22C25" w:rsidRDefault="00DA5BCA" w:rsidP="004F29C7">
      <w:pPr>
        <w:spacing w:line="240" w:lineRule="auto"/>
        <w:jc w:val="both"/>
        <w:rPr>
          <w:rFonts w:ascii="Arial" w:hAnsi="Arial" w:cs="Arial"/>
          <w:sz w:val="20"/>
          <w:szCs w:val="20"/>
        </w:rPr>
      </w:pPr>
    </w:p>
    <w:p w:rsidR="0007141A" w:rsidRDefault="0007141A">
      <w:pPr>
        <w:rPr>
          <w:rFonts w:ascii="Arial" w:hAnsi="Arial" w:cs="Arial"/>
          <w:sz w:val="20"/>
          <w:szCs w:val="20"/>
        </w:rPr>
      </w:pPr>
      <w:r>
        <w:rPr>
          <w:rFonts w:ascii="Arial" w:hAnsi="Arial" w:cs="Arial"/>
          <w:sz w:val="20"/>
          <w:szCs w:val="20"/>
        </w:rPr>
        <w:br w:type="page"/>
      </w:r>
    </w:p>
    <w:p w:rsidR="00FD6EA5" w:rsidRDefault="00FD6EA5" w:rsidP="00697A97">
      <w:pPr>
        <w:pBdr>
          <w:top w:val="single" w:sz="4" w:space="1" w:color="auto"/>
          <w:left w:val="single" w:sz="4" w:space="4" w:color="auto"/>
          <w:bottom w:val="single" w:sz="4" w:space="1" w:color="auto"/>
          <w:right w:val="single" w:sz="4" w:space="4" w:color="auto"/>
        </w:pBdr>
        <w:ind w:left="-567" w:right="-284"/>
        <w:rPr>
          <w:rFonts w:ascii="Arial" w:hAnsi="Arial" w:cs="Arial"/>
          <w:sz w:val="20"/>
          <w:szCs w:val="20"/>
        </w:rPr>
        <w:sectPr w:rsidR="00FD6EA5" w:rsidSect="00C92F6E">
          <w:headerReference w:type="even" r:id="rId26"/>
          <w:headerReference w:type="default" r:id="rId27"/>
          <w:footerReference w:type="even" r:id="rId28"/>
          <w:footerReference w:type="default" r:id="rId29"/>
          <w:headerReference w:type="first" r:id="rId30"/>
          <w:footerReference w:type="first" r:id="rId31"/>
          <w:pgSz w:w="11906" w:h="16838" w:code="9"/>
          <w:pgMar w:top="851" w:right="992" w:bottom="851" w:left="1418" w:header="709" w:footer="147" w:gutter="0"/>
          <w:cols w:space="708"/>
          <w:docGrid w:linePitch="360"/>
        </w:sectPr>
      </w:pPr>
    </w:p>
    <w:p w:rsidR="00FD6EA5" w:rsidRPr="00FD6EA5" w:rsidRDefault="008257D5" w:rsidP="00D724C2">
      <w:pPr>
        <w:widowControl w:val="0"/>
        <w:spacing w:after="0" w:line="240" w:lineRule="auto"/>
        <w:jc w:val="center"/>
        <w:rPr>
          <w:rFonts w:ascii="Arial" w:eastAsia="Times New Roman" w:hAnsi="Arial" w:cs="Arial"/>
          <w:sz w:val="28"/>
          <w:szCs w:val="28"/>
          <w:lang w:eastAsia="fr-FR"/>
        </w:rPr>
      </w:pPr>
      <w:r>
        <w:rPr>
          <w:rFonts w:ascii="Arial" w:eastAsia="Times New Roman" w:hAnsi="Arial" w:cs="Arial"/>
          <w:b/>
          <w:noProof/>
          <w:color w:val="000000"/>
          <w:sz w:val="28"/>
          <w:szCs w:val="28"/>
          <w:lang w:eastAsia="fr-FR"/>
        </w:rPr>
        <w:lastRenderedPageBreak/>
        <w:t>3.</w:t>
      </w:r>
      <w:r w:rsidR="00FD6EA5" w:rsidRPr="00FD6EA5">
        <w:rPr>
          <w:rFonts w:ascii="Arial" w:eastAsia="Times New Roman" w:hAnsi="Arial" w:cs="Arial"/>
          <w:b/>
          <w:noProof/>
          <w:color w:val="000000"/>
          <w:sz w:val="28"/>
          <w:szCs w:val="28"/>
          <w:lang w:eastAsia="fr-FR"/>
        </w:rPr>
        <w:t>Une fiche de fondamentaux</w:t>
      </w:r>
      <w:r w:rsidR="00FD6EA5" w:rsidRPr="00FD6EA5">
        <w:rPr>
          <w:rFonts w:ascii="Arial" w:eastAsia="Times New Roman" w:hAnsi="Arial" w:cs="Arial"/>
          <w:b/>
          <w:bCs/>
          <w:sz w:val="28"/>
          <w:szCs w:val="28"/>
          <w:lang w:eastAsia="fr-FR"/>
        </w:rPr>
        <w:t> : Quelle est la place de l’Union européenne dans l’économie globale ?</w:t>
      </w:r>
    </w:p>
    <w:p w:rsidR="00FD6EA5" w:rsidRDefault="00C57FC5" w:rsidP="00FD6EA5">
      <w:pPr>
        <w:ind w:left="-567" w:right="-284"/>
        <w:rPr>
          <w:rFonts w:ascii="Arial" w:hAnsi="Arial" w:cs="Arial"/>
          <w:sz w:val="20"/>
          <w:szCs w:val="20"/>
        </w:rPr>
      </w:pPr>
      <w:r w:rsidRPr="00FD6EA5">
        <w:rPr>
          <w:rFonts w:ascii="Arial" w:eastAsia="Times New Roman" w:hAnsi="Arial" w:cs="Arial"/>
          <w:b/>
          <w:noProof/>
          <w:color w:val="000000"/>
          <w:sz w:val="28"/>
          <w:szCs w:val="28"/>
          <w:lang w:eastAsia="fr-FR"/>
        </w:rPr>
        <mc:AlternateContent>
          <mc:Choice Requires="wps">
            <w:drawing>
              <wp:anchor distT="36576" distB="36576" distL="36576" distR="36576" simplePos="0" relativeHeight="251662336" behindDoc="0" locked="0" layoutInCell="1" allowOverlap="1" wp14:anchorId="0F525A7C" wp14:editId="6565F81F">
                <wp:simplePos x="0" y="0"/>
                <wp:positionH relativeFrom="column">
                  <wp:posOffset>5944128</wp:posOffset>
                </wp:positionH>
                <wp:positionV relativeFrom="paragraph">
                  <wp:posOffset>80010</wp:posOffset>
                </wp:positionV>
                <wp:extent cx="3926723" cy="6584315"/>
                <wp:effectExtent l="0" t="0" r="17145" b="1016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723" cy="658431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D6EA5" w:rsidRPr="00D724C2" w:rsidRDefault="00FD6EA5" w:rsidP="00D724C2">
                            <w:pPr>
                              <w:pStyle w:val="Titre1"/>
                              <w:spacing w:before="0" w:line="240" w:lineRule="auto"/>
                              <w:jc w:val="center"/>
                              <w:rPr>
                                <w:rFonts w:ascii="Arial" w:hAnsi="Arial" w:cs="Arial"/>
                                <w:b/>
                                <w:color w:val="auto"/>
                                <w:sz w:val="20"/>
                                <w:szCs w:val="20"/>
                              </w:rPr>
                            </w:pPr>
                            <w:r w:rsidRPr="00D724C2">
                              <w:rPr>
                                <w:rFonts w:ascii="Arial" w:hAnsi="Arial" w:cs="Arial"/>
                                <w:b/>
                                <w:color w:val="auto"/>
                                <w:sz w:val="20"/>
                                <w:szCs w:val="20"/>
                              </w:rPr>
                              <w:t>Éléments factuels</w:t>
                            </w:r>
                          </w:p>
                          <w:p w:rsidR="00FD6EA5" w:rsidRPr="00D724C2" w:rsidRDefault="00FD6EA5" w:rsidP="00D724C2">
                            <w:pPr>
                              <w:spacing w:before="60" w:after="0" w:line="240" w:lineRule="auto"/>
                              <w:jc w:val="both"/>
                              <w:rPr>
                                <w:rFonts w:ascii="Arial" w:hAnsi="Arial" w:cs="Arial"/>
                                <w:b/>
                                <w:sz w:val="18"/>
                                <w:szCs w:val="18"/>
                              </w:rPr>
                            </w:pPr>
                            <w:r w:rsidRPr="00D724C2">
                              <w:rPr>
                                <w:rFonts w:ascii="Arial" w:hAnsi="Arial" w:cs="Arial"/>
                                <w:b/>
                                <w:sz w:val="18"/>
                                <w:szCs w:val="18"/>
                              </w:rPr>
                              <w:t>Axe 1</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1957 Traité de Rome =&gt; Union douanière, libre circulation des marchandises</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 xml:space="preserve">1985 </w:t>
                            </w:r>
                            <w:proofErr w:type="spellStart"/>
                            <w:r w:rsidRPr="00D724C2">
                              <w:rPr>
                                <w:rFonts w:ascii="Arial" w:hAnsi="Arial" w:cs="Arial"/>
                                <w:sz w:val="18"/>
                                <w:szCs w:val="18"/>
                              </w:rPr>
                              <w:t>Shengen</w:t>
                            </w:r>
                            <w:proofErr w:type="spellEnd"/>
                            <w:r w:rsidRPr="00D724C2">
                              <w:rPr>
                                <w:rFonts w:ascii="Arial" w:hAnsi="Arial" w:cs="Arial"/>
                                <w:sz w:val="18"/>
                                <w:szCs w:val="18"/>
                              </w:rPr>
                              <w:t xml:space="preserve"> =&gt; libre circulation des personnes</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1986 Acte unique =&gt; libre circulation des capitaux</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1992 Traité de Maastricht =&gt; Monnaie unique et BCE</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1998 : création de la BCE</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1999 – 2002 : entrée en vigueur de l’euro</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 xml:space="preserve">Des élargissements successifs qui conduisent à une Union européenne à 28 pays et une zone euro à 19. </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2007-2009 Traité de Lisbonne (</w:t>
                            </w:r>
                            <w:r w:rsidRPr="00D724C2">
                              <w:rPr>
                                <w:rFonts w:ascii="Arial" w:hAnsi="Arial" w:cs="Arial"/>
                                <w:i/>
                                <w:sz w:val="18"/>
                                <w:szCs w:val="18"/>
                              </w:rPr>
                              <w:t>ne parle plus de marché commun ou unique mais de marché intérieur</w:t>
                            </w:r>
                            <w:r w:rsidRPr="00D724C2">
                              <w:rPr>
                                <w:rFonts w:ascii="Arial" w:hAnsi="Arial" w:cs="Arial"/>
                                <w:sz w:val="18"/>
                                <w:szCs w:val="18"/>
                              </w:rPr>
                              <w:t>), réforme des institutions.</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 xml:space="preserve">06/2016 </w:t>
                            </w:r>
                            <w:proofErr w:type="spellStart"/>
                            <w:r w:rsidRPr="00D724C2">
                              <w:rPr>
                                <w:rFonts w:ascii="Arial" w:hAnsi="Arial" w:cs="Arial"/>
                                <w:sz w:val="18"/>
                                <w:szCs w:val="18"/>
                              </w:rPr>
                              <w:t>Brexit</w:t>
                            </w:r>
                            <w:proofErr w:type="spellEnd"/>
                            <w:r w:rsidRPr="00D724C2">
                              <w:rPr>
                                <w:rFonts w:ascii="Arial" w:hAnsi="Arial" w:cs="Arial"/>
                                <w:sz w:val="18"/>
                                <w:szCs w:val="18"/>
                              </w:rPr>
                              <w:t> : 52% de ‘’oui’’ à la sortie du R-U de l’UE</w:t>
                            </w:r>
                          </w:p>
                          <w:p w:rsidR="00FD6EA5" w:rsidRPr="00D724C2" w:rsidRDefault="00FD6EA5" w:rsidP="00C57FC5">
                            <w:pPr>
                              <w:spacing w:after="0" w:line="240" w:lineRule="auto"/>
                              <w:jc w:val="both"/>
                              <w:rPr>
                                <w:rFonts w:ascii="Arial" w:hAnsi="Arial" w:cs="Arial"/>
                                <w:sz w:val="18"/>
                                <w:szCs w:val="18"/>
                              </w:rPr>
                            </w:pPr>
                            <w:r w:rsidRPr="00D724C2">
                              <w:rPr>
                                <w:rFonts w:ascii="Arial" w:hAnsi="Arial" w:cs="Arial"/>
                                <w:b/>
                                <w:sz w:val="18"/>
                                <w:szCs w:val="18"/>
                              </w:rPr>
                              <w:t>Axe 2</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En 1997, le Pacte de stabilité et de croissance, qui fait suite aux critères de convergence du traité de Maastricht, limite l’inflation, les déficits publics (3% du PIB), la dette publique (60% du PIB), institue une procédure de surveillance multilatérale et une procédure de sanction.</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 xml:space="preserve">Convergence et faiblesse de l’inflation dans la zone. </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Un seul taux directeur mais des taux d’intérêt réels différents selon les pays (parfois négatifs aujourd’hui).</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 xml:space="preserve">Baisse des taux d’intérêt pour lutter contre la crise : le taux directeur de la BCE passe de 4% à 0,25% entre 2009 et 2013 et même 0% en 2016. </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En 2010, la création du Mécanisme européen de stabilisation financière et du fond européen de stabilité financière ; puis du Mécanisme européen de stabilité doté de 750 milliards d’euros (voté en déc. 2010 et entre en vigueur en sept. 2012)</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En 2011, création du Semestre européen afin de renforcer la coordination des politiques économiques.</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Intervention de la BCE sous la forme de rachats de titres déjà émis par les États lourdement endettés.</w:t>
                            </w:r>
                          </w:p>
                          <w:p w:rsidR="00FD6EA5" w:rsidRPr="00D724C2" w:rsidRDefault="00FD6EA5" w:rsidP="00C57FC5">
                            <w:pPr>
                              <w:spacing w:after="0" w:line="240" w:lineRule="auto"/>
                              <w:jc w:val="both"/>
                              <w:rPr>
                                <w:rFonts w:ascii="Arial" w:hAnsi="Arial" w:cs="Arial"/>
                                <w:b/>
                                <w:sz w:val="18"/>
                                <w:szCs w:val="18"/>
                              </w:rPr>
                            </w:pPr>
                            <w:r w:rsidRPr="00D724C2">
                              <w:rPr>
                                <w:rFonts w:ascii="Arial" w:hAnsi="Arial" w:cs="Arial"/>
                                <w:b/>
                                <w:sz w:val="18"/>
                                <w:szCs w:val="18"/>
                              </w:rPr>
                              <w:t>Axe 3</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2007 : l’Allemagne transfère une partie des cotisations sociales sur la TVA afin de réduire le coût du travail.</w:t>
                            </w:r>
                          </w:p>
                          <w:p w:rsidR="00FD6EA5" w:rsidRPr="00D724C2" w:rsidRDefault="00FD6EA5" w:rsidP="00FD6EA5">
                            <w:pPr>
                              <w:pStyle w:val="NormalWeb"/>
                              <w:spacing w:after="0" w:line="240" w:lineRule="auto"/>
                              <w:jc w:val="both"/>
                              <w:rPr>
                                <w:rFonts w:ascii="Arial" w:hAnsi="Arial" w:cs="Arial"/>
                                <w:sz w:val="18"/>
                                <w:szCs w:val="18"/>
                              </w:rPr>
                            </w:pPr>
                            <w:r w:rsidRPr="00D724C2">
                              <w:rPr>
                                <w:rFonts w:ascii="Arial" w:hAnsi="Arial" w:cs="Arial"/>
                                <w:sz w:val="18"/>
                                <w:szCs w:val="18"/>
                              </w:rPr>
                              <w:t xml:space="preserve">Traité de Lisbonne =&gt; principe de la neutralité fiscale, mais harmonisation de la fiscalité n’est pas uniformisation : chaque pays de l'UE possède </w:t>
                            </w:r>
                            <w:r w:rsidRPr="00D724C2">
                              <w:rPr>
                                <w:rFonts w:ascii="Arial" w:hAnsi="Arial" w:cs="Arial"/>
                                <w:bCs/>
                                <w:sz w:val="18"/>
                                <w:szCs w:val="18"/>
                              </w:rPr>
                              <w:t xml:space="preserve">un taux de TVA "standard" </w:t>
                            </w:r>
                            <w:r w:rsidRPr="00D724C2">
                              <w:rPr>
                                <w:rFonts w:ascii="Arial" w:hAnsi="Arial" w:cs="Arial"/>
                                <w:sz w:val="18"/>
                                <w:szCs w:val="18"/>
                              </w:rPr>
                              <w:t xml:space="preserve">d'au moins 15% et </w:t>
                            </w:r>
                            <w:r w:rsidRPr="00D724C2">
                              <w:rPr>
                                <w:rFonts w:ascii="Arial" w:hAnsi="Arial" w:cs="Arial"/>
                                <w:bCs/>
                                <w:sz w:val="18"/>
                                <w:szCs w:val="18"/>
                              </w:rPr>
                              <w:t xml:space="preserve">un (ou 2) taux réduit(s) </w:t>
                            </w:r>
                            <w:r w:rsidRPr="00D724C2">
                              <w:rPr>
                                <w:rFonts w:ascii="Arial" w:hAnsi="Arial" w:cs="Arial"/>
                                <w:sz w:val="18"/>
                                <w:szCs w:val="18"/>
                              </w:rPr>
                              <w:t xml:space="preserve">d'au moins 5%. Les taux standard varient de 15% pour le Luxembourg à 27% pour la Hongrie. </w:t>
                            </w:r>
                          </w:p>
                          <w:p w:rsidR="00FD6EA5" w:rsidRPr="00D724C2" w:rsidRDefault="00FD6EA5" w:rsidP="00FD6EA5">
                            <w:pPr>
                              <w:pStyle w:val="NormalWeb"/>
                              <w:spacing w:after="0" w:line="240" w:lineRule="auto"/>
                              <w:jc w:val="both"/>
                              <w:rPr>
                                <w:rFonts w:ascii="Arial" w:hAnsi="Arial" w:cs="Arial"/>
                                <w:sz w:val="18"/>
                                <w:szCs w:val="18"/>
                              </w:rPr>
                            </w:pPr>
                            <w:r w:rsidRPr="00D724C2">
                              <w:rPr>
                                <w:rFonts w:ascii="Arial" w:hAnsi="Arial" w:cs="Arial"/>
                                <w:sz w:val="18"/>
                                <w:szCs w:val="18"/>
                              </w:rPr>
                              <w:t>A</w:t>
                            </w:r>
                            <w:r w:rsidRPr="00D724C2">
                              <w:rPr>
                                <w:rFonts w:ascii="Arial" w:hAnsi="Arial" w:cs="Arial"/>
                                <w:bCs/>
                                <w:sz w:val="18"/>
                                <w:szCs w:val="18"/>
                              </w:rPr>
                              <w:t>ucun pays ne peut modifier ses taux de manière unilatérale</w:t>
                            </w:r>
                            <w:r w:rsidRPr="00D724C2">
                              <w:rPr>
                                <w:rFonts w:ascii="Arial" w:hAnsi="Arial" w:cs="Arial"/>
                                <w:sz w:val="18"/>
                                <w:szCs w:val="18"/>
                              </w:rPr>
                              <w:t xml:space="preserve">, besoin de l'accord de tous ses partenaires, le traité prévoyant que les décisions sont prises à l'unanimité. </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Mars 2016, le taux de chômage varie selon les pays entre 4,1% (</w:t>
                            </w:r>
                            <w:proofErr w:type="spellStart"/>
                            <w:r w:rsidRPr="00D724C2">
                              <w:rPr>
                                <w:rFonts w:ascii="Arial" w:hAnsi="Arial" w:cs="Arial"/>
                                <w:sz w:val="18"/>
                                <w:szCs w:val="18"/>
                              </w:rPr>
                              <w:t>Rep</w:t>
                            </w:r>
                            <w:proofErr w:type="spellEnd"/>
                            <w:r w:rsidRPr="00D724C2">
                              <w:rPr>
                                <w:rFonts w:ascii="Arial" w:hAnsi="Arial" w:cs="Arial"/>
                                <w:sz w:val="18"/>
                                <w:szCs w:val="18"/>
                              </w:rPr>
                              <w:t xml:space="preserve">. </w:t>
                            </w:r>
                            <w:proofErr w:type="spellStart"/>
                            <w:r w:rsidRPr="00D724C2">
                              <w:rPr>
                                <w:rFonts w:ascii="Arial" w:hAnsi="Arial" w:cs="Arial"/>
                                <w:sz w:val="18"/>
                                <w:szCs w:val="18"/>
                              </w:rPr>
                              <w:t>Tchè</w:t>
                            </w:r>
                            <w:proofErr w:type="spellEnd"/>
                            <w:r w:rsidRPr="00D724C2">
                              <w:rPr>
                                <w:rFonts w:ascii="Arial" w:hAnsi="Arial" w:cs="Arial"/>
                                <w:sz w:val="18"/>
                                <w:szCs w:val="18"/>
                              </w:rPr>
                              <w:t>) et 24,4% (</w:t>
                            </w:r>
                            <w:proofErr w:type="spellStart"/>
                            <w:r w:rsidRPr="00D724C2">
                              <w:rPr>
                                <w:rFonts w:ascii="Arial" w:hAnsi="Arial" w:cs="Arial"/>
                                <w:sz w:val="18"/>
                                <w:szCs w:val="18"/>
                              </w:rPr>
                              <w:t>Grè</w:t>
                            </w:r>
                            <w:proofErr w:type="spellEnd"/>
                            <w:r w:rsidRPr="00D724C2">
                              <w:rPr>
                                <w:rFonts w:ascii="Arial" w:hAnsi="Arial" w:cs="Arial"/>
                                <w:sz w:val="18"/>
                                <w:szCs w:val="18"/>
                              </w:rPr>
                              <w:t>). En juin 2016, le salaire minimum de l’UE varie entre 215€ (</w:t>
                            </w:r>
                            <w:proofErr w:type="spellStart"/>
                            <w:r w:rsidRPr="00D724C2">
                              <w:rPr>
                                <w:rFonts w:ascii="Arial" w:hAnsi="Arial" w:cs="Arial"/>
                                <w:sz w:val="18"/>
                                <w:szCs w:val="18"/>
                              </w:rPr>
                              <w:t>Bulg</w:t>
                            </w:r>
                            <w:proofErr w:type="spellEnd"/>
                            <w:r w:rsidRPr="00D724C2">
                              <w:rPr>
                                <w:rFonts w:ascii="Arial" w:hAnsi="Arial" w:cs="Arial"/>
                                <w:sz w:val="18"/>
                                <w:szCs w:val="18"/>
                              </w:rPr>
                              <w:t>) et 1 923€ (Lux.), 1 466€ pour la France ; le PIB/h des pays de la zone s’échelonne entre 47% et 266% du PIB/h de l’UE à 28. Une dette publique qui varie de 23% à 179% du PIB. (Eurostat 2016).</w:t>
                            </w:r>
                          </w:p>
                        </w:txbxContent>
                      </wps:txbx>
                      <wps:bodyPr rot="0" vert="horz" wrap="squar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525A7C" id="_x0000_t202" coordsize="21600,21600" o:spt="202" path="m,l,21600r21600,l21600,xe">
                <v:stroke joinstyle="miter"/>
                <v:path gradientshapeok="t" o:connecttype="rect"/>
              </v:shapetype>
              <v:shape id="Text Box 7" o:spid="_x0000_s1029" type="#_x0000_t202" style="position:absolute;left:0;text-align:left;margin-left:468.05pt;margin-top:6.3pt;width:309.2pt;height:518.4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" filled="f" strokeweight="1pt">
                <v:shadow color="#ccc"/>
                <v:textbox style="mso-fit-shape-to-text:t" inset="2.88pt,2.88pt,2.88pt,2.88pt">
                  <w:txbxContent>
                    <w:p w:rsidR="00FD6EA5" w:rsidRPr="00D724C2" w:rsidRDefault="00FD6EA5" w:rsidP="00D724C2">
                      <w:pPr>
                        <w:pStyle w:val="Titre1"/>
                        <w:spacing w:before="0" w:line="240" w:lineRule="auto"/>
                        <w:jc w:val="center"/>
                        <w:rPr>
                          <w:rFonts w:ascii="Arial" w:hAnsi="Arial" w:cs="Arial"/>
                          <w:b/>
                          <w:color w:val="auto"/>
                          <w:sz w:val="20"/>
                          <w:szCs w:val="20"/>
                        </w:rPr>
                      </w:pPr>
                      <w:r w:rsidRPr="00D724C2">
                        <w:rPr>
                          <w:rFonts w:ascii="Arial" w:hAnsi="Arial" w:cs="Arial"/>
                          <w:b/>
                          <w:color w:val="auto"/>
                          <w:sz w:val="20"/>
                          <w:szCs w:val="20"/>
                        </w:rPr>
                        <w:t>Éléments factuels</w:t>
                      </w:r>
                    </w:p>
                    <w:p w:rsidR="00FD6EA5" w:rsidRPr="00D724C2" w:rsidRDefault="00FD6EA5" w:rsidP="00D724C2">
                      <w:pPr>
                        <w:spacing w:before="60" w:after="0" w:line="240" w:lineRule="auto"/>
                        <w:jc w:val="both"/>
                        <w:rPr>
                          <w:rFonts w:ascii="Arial" w:hAnsi="Arial" w:cs="Arial"/>
                          <w:b/>
                          <w:sz w:val="18"/>
                          <w:szCs w:val="18"/>
                        </w:rPr>
                      </w:pPr>
                      <w:r w:rsidRPr="00D724C2">
                        <w:rPr>
                          <w:rFonts w:ascii="Arial" w:hAnsi="Arial" w:cs="Arial"/>
                          <w:b/>
                          <w:sz w:val="18"/>
                          <w:szCs w:val="18"/>
                        </w:rPr>
                        <w:t>Axe 1</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1957 Traité de Rome =&gt; Union douanière, libre circulation des marchandises</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 xml:space="preserve">1985 </w:t>
                      </w:r>
                      <w:proofErr w:type="spellStart"/>
                      <w:r w:rsidRPr="00D724C2">
                        <w:rPr>
                          <w:rFonts w:ascii="Arial" w:hAnsi="Arial" w:cs="Arial"/>
                          <w:sz w:val="18"/>
                          <w:szCs w:val="18"/>
                        </w:rPr>
                        <w:t>Shengen</w:t>
                      </w:r>
                      <w:proofErr w:type="spellEnd"/>
                      <w:r w:rsidRPr="00D724C2">
                        <w:rPr>
                          <w:rFonts w:ascii="Arial" w:hAnsi="Arial" w:cs="Arial"/>
                          <w:sz w:val="18"/>
                          <w:szCs w:val="18"/>
                        </w:rPr>
                        <w:t xml:space="preserve"> =&gt; libre circulation des personnes</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1986 Acte unique =&gt; libre circulation des capitaux</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1992 Traité de Maastricht =&gt; Monnaie unique et BCE</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1998 : création de la BCE</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1999 – 2002 : entrée en vigueur de l’euro</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 xml:space="preserve">Des élargissements successifs qui conduisent à une Union européenne à 28 pays et une zone euro à 19. </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2007-2009 Traité de Lisbonne (</w:t>
                      </w:r>
                      <w:r w:rsidRPr="00D724C2">
                        <w:rPr>
                          <w:rFonts w:ascii="Arial" w:hAnsi="Arial" w:cs="Arial"/>
                          <w:i/>
                          <w:sz w:val="18"/>
                          <w:szCs w:val="18"/>
                        </w:rPr>
                        <w:t>ne parle plus de marché commun ou unique mais de marché intérieur</w:t>
                      </w:r>
                      <w:r w:rsidRPr="00D724C2">
                        <w:rPr>
                          <w:rFonts w:ascii="Arial" w:hAnsi="Arial" w:cs="Arial"/>
                          <w:sz w:val="18"/>
                          <w:szCs w:val="18"/>
                        </w:rPr>
                        <w:t>), réforme des institutions.</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 xml:space="preserve">06/2016 </w:t>
                      </w:r>
                      <w:proofErr w:type="spellStart"/>
                      <w:r w:rsidRPr="00D724C2">
                        <w:rPr>
                          <w:rFonts w:ascii="Arial" w:hAnsi="Arial" w:cs="Arial"/>
                          <w:sz w:val="18"/>
                          <w:szCs w:val="18"/>
                        </w:rPr>
                        <w:t>Brexit</w:t>
                      </w:r>
                      <w:proofErr w:type="spellEnd"/>
                      <w:r w:rsidRPr="00D724C2">
                        <w:rPr>
                          <w:rFonts w:ascii="Arial" w:hAnsi="Arial" w:cs="Arial"/>
                          <w:sz w:val="18"/>
                          <w:szCs w:val="18"/>
                        </w:rPr>
                        <w:t> : 52% de ‘’oui’’ à la sortie du R-U de l’UE</w:t>
                      </w:r>
                    </w:p>
                    <w:p w:rsidR="00FD6EA5" w:rsidRPr="00D724C2" w:rsidRDefault="00FD6EA5" w:rsidP="00C57FC5">
                      <w:pPr>
                        <w:spacing w:after="0" w:line="240" w:lineRule="auto"/>
                        <w:jc w:val="both"/>
                        <w:rPr>
                          <w:rFonts w:ascii="Arial" w:hAnsi="Arial" w:cs="Arial"/>
                          <w:sz w:val="18"/>
                          <w:szCs w:val="18"/>
                        </w:rPr>
                      </w:pPr>
                      <w:r w:rsidRPr="00D724C2">
                        <w:rPr>
                          <w:rFonts w:ascii="Arial" w:hAnsi="Arial" w:cs="Arial"/>
                          <w:b/>
                          <w:sz w:val="18"/>
                          <w:szCs w:val="18"/>
                        </w:rPr>
                        <w:t>Axe 2</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En 1997, le Pacte de stabilité et de croissance, qui fait suite aux critères de convergence du traité de Maastricht, limite l’inflation, les déficits publics (3% du PIB), la dette publique (60% du PIB), institue une procédure de surveillance multilatérale et une procédure de sanction.</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 xml:space="preserve">Convergence et faiblesse de l’inflation dans la zone. </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Un seul taux directeur mais des taux d’intérêt réels différents selon les pays (parfois négatifs aujourd’hui).</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 xml:space="preserve">Baisse des taux d’intérêt pour lutter contre la crise : le taux directeur de la BCE passe de 4% à 0,25% entre 2009 et 2013 et même 0% en 2016. </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En 2010, la création du Mécanisme européen de stabilisation financière et du fond européen de stabilité financière ; puis du Mécanisme européen de stabilité doté de 750 milliards d’euros (voté en déc. 2010 et entre en vigueur en sept. 2012)</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En 2011, création du Semestre européen afin de renforcer la coordination des politiques économiques.</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Intervention de la BCE sous la forme de rachats de titres déjà émis par les États lourdement endettés.</w:t>
                      </w:r>
                    </w:p>
                    <w:p w:rsidR="00FD6EA5" w:rsidRPr="00D724C2" w:rsidRDefault="00FD6EA5" w:rsidP="00C57FC5">
                      <w:pPr>
                        <w:spacing w:after="0" w:line="240" w:lineRule="auto"/>
                        <w:jc w:val="both"/>
                        <w:rPr>
                          <w:rFonts w:ascii="Arial" w:hAnsi="Arial" w:cs="Arial"/>
                          <w:b/>
                          <w:sz w:val="18"/>
                          <w:szCs w:val="18"/>
                        </w:rPr>
                      </w:pPr>
                      <w:r w:rsidRPr="00D724C2">
                        <w:rPr>
                          <w:rFonts w:ascii="Arial" w:hAnsi="Arial" w:cs="Arial"/>
                          <w:b/>
                          <w:sz w:val="18"/>
                          <w:szCs w:val="18"/>
                        </w:rPr>
                        <w:t>Axe 3</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2007 : l’Allemagne transfère une partie des cotisations sociales sur la TVA afin de réduire le coût du travail.</w:t>
                      </w:r>
                    </w:p>
                    <w:p w:rsidR="00FD6EA5" w:rsidRPr="00D724C2" w:rsidRDefault="00FD6EA5" w:rsidP="00FD6EA5">
                      <w:pPr>
                        <w:pStyle w:val="NormalWeb"/>
                        <w:spacing w:after="0" w:line="240" w:lineRule="auto"/>
                        <w:jc w:val="both"/>
                        <w:rPr>
                          <w:rFonts w:ascii="Arial" w:hAnsi="Arial" w:cs="Arial"/>
                          <w:sz w:val="18"/>
                          <w:szCs w:val="18"/>
                        </w:rPr>
                      </w:pPr>
                      <w:r w:rsidRPr="00D724C2">
                        <w:rPr>
                          <w:rFonts w:ascii="Arial" w:hAnsi="Arial" w:cs="Arial"/>
                          <w:sz w:val="18"/>
                          <w:szCs w:val="18"/>
                        </w:rPr>
                        <w:t xml:space="preserve">Traité de Lisbonne =&gt; principe de la neutralité fiscale, mais harmonisation de la fiscalité n’est pas uniformisation : chaque pays de l'UE possède </w:t>
                      </w:r>
                      <w:r w:rsidRPr="00D724C2">
                        <w:rPr>
                          <w:rFonts w:ascii="Arial" w:hAnsi="Arial" w:cs="Arial"/>
                          <w:bCs/>
                          <w:sz w:val="18"/>
                          <w:szCs w:val="18"/>
                        </w:rPr>
                        <w:t xml:space="preserve">un taux de TVA "standard" </w:t>
                      </w:r>
                      <w:r w:rsidRPr="00D724C2">
                        <w:rPr>
                          <w:rFonts w:ascii="Arial" w:hAnsi="Arial" w:cs="Arial"/>
                          <w:sz w:val="18"/>
                          <w:szCs w:val="18"/>
                        </w:rPr>
                        <w:t xml:space="preserve">d'au moins 15% et </w:t>
                      </w:r>
                      <w:r w:rsidRPr="00D724C2">
                        <w:rPr>
                          <w:rFonts w:ascii="Arial" w:hAnsi="Arial" w:cs="Arial"/>
                          <w:bCs/>
                          <w:sz w:val="18"/>
                          <w:szCs w:val="18"/>
                        </w:rPr>
                        <w:t xml:space="preserve">un (ou 2) taux réduit(s) </w:t>
                      </w:r>
                      <w:r w:rsidRPr="00D724C2">
                        <w:rPr>
                          <w:rFonts w:ascii="Arial" w:hAnsi="Arial" w:cs="Arial"/>
                          <w:sz w:val="18"/>
                          <w:szCs w:val="18"/>
                        </w:rPr>
                        <w:t xml:space="preserve">d'au moins 5%. Les taux standard varient de 15% pour le Luxembourg à 27% pour la Hongrie. </w:t>
                      </w:r>
                    </w:p>
                    <w:p w:rsidR="00FD6EA5" w:rsidRPr="00D724C2" w:rsidRDefault="00FD6EA5" w:rsidP="00FD6EA5">
                      <w:pPr>
                        <w:pStyle w:val="NormalWeb"/>
                        <w:spacing w:after="0" w:line="240" w:lineRule="auto"/>
                        <w:jc w:val="both"/>
                        <w:rPr>
                          <w:rFonts w:ascii="Arial" w:hAnsi="Arial" w:cs="Arial"/>
                          <w:sz w:val="18"/>
                          <w:szCs w:val="18"/>
                        </w:rPr>
                      </w:pPr>
                      <w:r w:rsidRPr="00D724C2">
                        <w:rPr>
                          <w:rFonts w:ascii="Arial" w:hAnsi="Arial" w:cs="Arial"/>
                          <w:sz w:val="18"/>
                          <w:szCs w:val="18"/>
                        </w:rPr>
                        <w:t>A</w:t>
                      </w:r>
                      <w:r w:rsidRPr="00D724C2">
                        <w:rPr>
                          <w:rFonts w:ascii="Arial" w:hAnsi="Arial" w:cs="Arial"/>
                          <w:bCs/>
                          <w:sz w:val="18"/>
                          <w:szCs w:val="18"/>
                        </w:rPr>
                        <w:t>ucun pays ne peut modifier ses taux de manière unilatérale</w:t>
                      </w:r>
                      <w:r w:rsidRPr="00D724C2">
                        <w:rPr>
                          <w:rFonts w:ascii="Arial" w:hAnsi="Arial" w:cs="Arial"/>
                          <w:sz w:val="18"/>
                          <w:szCs w:val="18"/>
                        </w:rPr>
                        <w:t xml:space="preserve">, besoin de l'accord de tous ses partenaires, le traité prévoyant que les décisions sont prises à l'unanimité. </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Mars 2016, le taux de chômage varie selon les pays entre 4,1% (</w:t>
                      </w:r>
                      <w:proofErr w:type="spellStart"/>
                      <w:r w:rsidRPr="00D724C2">
                        <w:rPr>
                          <w:rFonts w:ascii="Arial" w:hAnsi="Arial" w:cs="Arial"/>
                          <w:sz w:val="18"/>
                          <w:szCs w:val="18"/>
                        </w:rPr>
                        <w:t>Rep</w:t>
                      </w:r>
                      <w:proofErr w:type="spellEnd"/>
                      <w:r w:rsidRPr="00D724C2">
                        <w:rPr>
                          <w:rFonts w:ascii="Arial" w:hAnsi="Arial" w:cs="Arial"/>
                          <w:sz w:val="18"/>
                          <w:szCs w:val="18"/>
                        </w:rPr>
                        <w:t xml:space="preserve">. </w:t>
                      </w:r>
                      <w:proofErr w:type="spellStart"/>
                      <w:r w:rsidRPr="00D724C2">
                        <w:rPr>
                          <w:rFonts w:ascii="Arial" w:hAnsi="Arial" w:cs="Arial"/>
                          <w:sz w:val="18"/>
                          <w:szCs w:val="18"/>
                        </w:rPr>
                        <w:t>Tchè</w:t>
                      </w:r>
                      <w:proofErr w:type="spellEnd"/>
                      <w:r w:rsidRPr="00D724C2">
                        <w:rPr>
                          <w:rFonts w:ascii="Arial" w:hAnsi="Arial" w:cs="Arial"/>
                          <w:sz w:val="18"/>
                          <w:szCs w:val="18"/>
                        </w:rPr>
                        <w:t>) et 24,4% (</w:t>
                      </w:r>
                      <w:proofErr w:type="spellStart"/>
                      <w:r w:rsidRPr="00D724C2">
                        <w:rPr>
                          <w:rFonts w:ascii="Arial" w:hAnsi="Arial" w:cs="Arial"/>
                          <w:sz w:val="18"/>
                          <w:szCs w:val="18"/>
                        </w:rPr>
                        <w:t>Grè</w:t>
                      </w:r>
                      <w:proofErr w:type="spellEnd"/>
                      <w:r w:rsidRPr="00D724C2">
                        <w:rPr>
                          <w:rFonts w:ascii="Arial" w:hAnsi="Arial" w:cs="Arial"/>
                          <w:sz w:val="18"/>
                          <w:szCs w:val="18"/>
                        </w:rPr>
                        <w:t>). En juin 2016, le salaire minimum de l’UE varie entre 215€ (</w:t>
                      </w:r>
                      <w:proofErr w:type="spellStart"/>
                      <w:r w:rsidRPr="00D724C2">
                        <w:rPr>
                          <w:rFonts w:ascii="Arial" w:hAnsi="Arial" w:cs="Arial"/>
                          <w:sz w:val="18"/>
                          <w:szCs w:val="18"/>
                        </w:rPr>
                        <w:t>Bulg</w:t>
                      </w:r>
                      <w:proofErr w:type="spellEnd"/>
                      <w:r w:rsidRPr="00D724C2">
                        <w:rPr>
                          <w:rFonts w:ascii="Arial" w:hAnsi="Arial" w:cs="Arial"/>
                          <w:sz w:val="18"/>
                          <w:szCs w:val="18"/>
                        </w:rPr>
                        <w:t>) et 1 923€ (Lux.), 1 466€ pour la France ; le PIB/h des pays de la zone s’échelonne entre 47% et 266% du PIB/h de l’UE à 28. Une dette publique qui varie de 23% à 179% du PIB. (Eurostat 2016).</w:t>
                      </w:r>
                    </w:p>
                  </w:txbxContent>
                </v:textbox>
              </v:shape>
            </w:pict>
          </mc:Fallback>
        </mc:AlternateContent>
      </w:r>
      <w:r w:rsidRPr="00FD6EA5">
        <w:rPr>
          <w:rFonts w:ascii="Arial" w:eastAsia="Times New Roman" w:hAnsi="Arial" w:cs="Arial"/>
          <w:b/>
          <w:noProof/>
          <w:color w:val="000000"/>
          <w:sz w:val="28"/>
          <w:szCs w:val="28"/>
          <w:lang w:eastAsia="fr-FR"/>
        </w:rPr>
        <mc:AlternateContent>
          <mc:Choice Requires="wps">
            <w:drawing>
              <wp:anchor distT="36576" distB="36576" distL="36576" distR="36576" simplePos="0" relativeHeight="251664384" behindDoc="0" locked="0" layoutInCell="1" allowOverlap="1" wp14:anchorId="13ECBC7E" wp14:editId="7C07F195">
                <wp:simplePos x="0" y="0"/>
                <wp:positionH relativeFrom="column">
                  <wp:posOffset>3686086</wp:posOffset>
                </wp:positionH>
                <wp:positionV relativeFrom="paragraph">
                  <wp:posOffset>4016375</wp:posOffset>
                </wp:positionV>
                <wp:extent cx="2220595" cy="2390775"/>
                <wp:effectExtent l="0" t="0" r="27305" b="2222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239077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D6EA5" w:rsidRPr="00D724C2" w:rsidRDefault="00FD6EA5" w:rsidP="00FD6EA5">
                            <w:pPr>
                              <w:spacing w:after="0" w:line="240" w:lineRule="auto"/>
                              <w:jc w:val="center"/>
                              <w:rPr>
                                <w:rFonts w:ascii="Arial" w:hAnsi="Arial" w:cs="Arial"/>
                                <w:b/>
                                <w:color w:val="000000"/>
                                <w:sz w:val="20"/>
                                <w:szCs w:val="20"/>
                              </w:rPr>
                            </w:pPr>
                            <w:r w:rsidRPr="00D724C2">
                              <w:rPr>
                                <w:rFonts w:ascii="Arial" w:hAnsi="Arial" w:cs="Arial"/>
                                <w:b/>
                                <w:sz w:val="20"/>
                                <w:szCs w:val="20"/>
                              </w:rPr>
                              <w:t>Pistes éventuelles d’approfondissement (non exigibles aux épreuves)</w:t>
                            </w:r>
                          </w:p>
                          <w:p w:rsidR="00FD6EA5" w:rsidRPr="00D724C2" w:rsidRDefault="00FD6EA5" w:rsidP="00FD6EA5">
                            <w:pPr>
                              <w:spacing w:after="0" w:line="240" w:lineRule="auto"/>
                              <w:jc w:val="both"/>
                              <w:rPr>
                                <w:rFonts w:ascii="Arial" w:hAnsi="Arial" w:cs="Arial"/>
                                <w:color w:val="000000"/>
                                <w:sz w:val="18"/>
                              </w:rPr>
                            </w:pPr>
                            <w:r w:rsidRPr="00D724C2">
                              <w:rPr>
                                <w:rFonts w:ascii="Arial" w:hAnsi="Arial" w:cs="Arial"/>
                                <w:color w:val="000000"/>
                                <w:sz w:val="18"/>
                              </w:rPr>
                              <w:t xml:space="preserve">Étapes progressives mais non linéaires du processus d’intégration selon </w:t>
                            </w:r>
                            <w:proofErr w:type="spellStart"/>
                            <w:r w:rsidRPr="00D724C2">
                              <w:rPr>
                                <w:rFonts w:ascii="Arial" w:hAnsi="Arial" w:cs="Arial"/>
                                <w:color w:val="000000"/>
                                <w:sz w:val="18"/>
                              </w:rPr>
                              <w:t>Bela</w:t>
                            </w:r>
                            <w:proofErr w:type="spellEnd"/>
                            <w:r w:rsidRPr="00D724C2">
                              <w:rPr>
                                <w:rFonts w:ascii="Arial" w:hAnsi="Arial" w:cs="Arial"/>
                                <w:color w:val="000000"/>
                                <w:sz w:val="18"/>
                              </w:rPr>
                              <w:t xml:space="preserve"> Balassa.</w:t>
                            </w:r>
                          </w:p>
                          <w:p w:rsidR="00FD6EA5" w:rsidRPr="00D724C2" w:rsidRDefault="00FD6EA5" w:rsidP="00FD6EA5">
                            <w:pPr>
                              <w:spacing w:after="0" w:line="240" w:lineRule="auto"/>
                              <w:jc w:val="both"/>
                              <w:rPr>
                                <w:rFonts w:ascii="Arial" w:hAnsi="Arial" w:cs="Arial"/>
                                <w:color w:val="000000"/>
                                <w:sz w:val="18"/>
                              </w:rPr>
                            </w:pPr>
                            <w:r w:rsidRPr="00D724C2">
                              <w:rPr>
                                <w:rFonts w:ascii="Arial" w:hAnsi="Arial" w:cs="Arial"/>
                                <w:color w:val="000000"/>
                                <w:sz w:val="18"/>
                              </w:rPr>
                              <w:t xml:space="preserve">Triangle d’incompatibilité de </w:t>
                            </w:r>
                            <w:proofErr w:type="spellStart"/>
                            <w:r w:rsidRPr="00D724C2">
                              <w:rPr>
                                <w:rFonts w:ascii="Arial" w:hAnsi="Arial" w:cs="Arial"/>
                                <w:color w:val="000000"/>
                                <w:sz w:val="18"/>
                              </w:rPr>
                              <w:t>Mundell</w:t>
                            </w:r>
                            <w:proofErr w:type="spellEnd"/>
                            <w:r w:rsidRPr="00D724C2">
                              <w:rPr>
                                <w:rFonts w:ascii="Arial" w:hAnsi="Arial" w:cs="Arial"/>
                                <w:color w:val="000000"/>
                                <w:sz w:val="18"/>
                              </w:rPr>
                              <w:t xml:space="preserve"> : Impossibilité d’avoir à la fois des taux de change fixes, une libre circulation des capitaux et une autonomie de la politique monétaire, ce qui serait la situation la plus favorable à l’activité économique. </w:t>
                            </w:r>
                          </w:p>
                          <w:p w:rsidR="00FD6EA5" w:rsidRPr="00D724C2" w:rsidRDefault="00FD6EA5" w:rsidP="00FD6EA5">
                            <w:pPr>
                              <w:spacing w:after="0" w:line="240" w:lineRule="auto"/>
                              <w:jc w:val="both"/>
                              <w:rPr>
                                <w:rFonts w:ascii="Arial" w:hAnsi="Arial" w:cs="Arial"/>
                                <w:color w:val="000000"/>
                                <w:sz w:val="18"/>
                              </w:rPr>
                            </w:pPr>
                            <w:r w:rsidRPr="00D724C2">
                              <w:rPr>
                                <w:rFonts w:ascii="Arial" w:hAnsi="Arial" w:cs="Arial"/>
                                <w:color w:val="000000"/>
                                <w:sz w:val="18"/>
                              </w:rPr>
                              <w:t>Notion et mécanismes de chocs asymétriques.</w:t>
                            </w:r>
                          </w:p>
                          <w:p w:rsidR="00FD6EA5" w:rsidRPr="00D724C2" w:rsidRDefault="00FD6EA5" w:rsidP="00FD6EA5">
                            <w:pPr>
                              <w:spacing w:after="0" w:line="240" w:lineRule="auto"/>
                              <w:jc w:val="both"/>
                              <w:rPr>
                                <w:rFonts w:ascii="Arial" w:hAnsi="Arial" w:cs="Arial"/>
                                <w:color w:val="000000"/>
                                <w:sz w:val="18"/>
                              </w:rPr>
                            </w:pPr>
                            <w:r w:rsidRPr="00D724C2">
                              <w:rPr>
                                <w:rFonts w:ascii="Arial" w:hAnsi="Arial" w:cs="Arial"/>
                                <w:color w:val="000000"/>
                                <w:sz w:val="18"/>
                              </w:rPr>
                              <w:t>Question de la concurrence sociale, fiscale, environnementale (la concurrence entre pays l’emporterait sur la coopération ?).</w:t>
                            </w:r>
                          </w:p>
                        </w:txbxContent>
                      </wps:txbx>
                      <wps:bodyPr rot="0" vert="horz" wrap="squar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ECBC7E" id="Text Box 6" o:spid="_x0000_s1030" type="#_x0000_t202" style="position:absolute;left:0;text-align:left;margin-left:290.25pt;margin-top:316.25pt;width:174.85pt;height:188.2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" filled="f" strokeweight="1pt">
                <v:shadow color="#ccc"/>
                <v:textbox style="mso-fit-shape-to-text:t" inset="2.88pt,2.88pt,2.88pt,2.88pt">
                  <w:txbxContent>
                    <w:p w:rsidR="00FD6EA5" w:rsidRPr="00D724C2" w:rsidRDefault="00FD6EA5" w:rsidP="00FD6EA5">
                      <w:pPr>
                        <w:spacing w:after="0" w:line="240" w:lineRule="auto"/>
                        <w:jc w:val="center"/>
                        <w:rPr>
                          <w:rFonts w:ascii="Arial" w:hAnsi="Arial" w:cs="Arial"/>
                          <w:b/>
                          <w:color w:val="000000"/>
                          <w:sz w:val="20"/>
                          <w:szCs w:val="20"/>
                        </w:rPr>
                      </w:pPr>
                      <w:r w:rsidRPr="00D724C2">
                        <w:rPr>
                          <w:rFonts w:ascii="Arial" w:hAnsi="Arial" w:cs="Arial"/>
                          <w:b/>
                          <w:sz w:val="20"/>
                          <w:szCs w:val="20"/>
                        </w:rPr>
                        <w:t>Pistes éventuelles d’approfondissement (non exigibles aux épreuves)</w:t>
                      </w:r>
                    </w:p>
                    <w:p w:rsidR="00FD6EA5" w:rsidRPr="00D724C2" w:rsidRDefault="00FD6EA5" w:rsidP="00FD6EA5">
                      <w:pPr>
                        <w:spacing w:after="0" w:line="240" w:lineRule="auto"/>
                        <w:jc w:val="both"/>
                        <w:rPr>
                          <w:rFonts w:ascii="Arial" w:hAnsi="Arial" w:cs="Arial"/>
                          <w:color w:val="000000"/>
                          <w:sz w:val="18"/>
                        </w:rPr>
                      </w:pPr>
                      <w:r w:rsidRPr="00D724C2">
                        <w:rPr>
                          <w:rFonts w:ascii="Arial" w:hAnsi="Arial" w:cs="Arial"/>
                          <w:color w:val="000000"/>
                          <w:sz w:val="18"/>
                        </w:rPr>
                        <w:t xml:space="preserve">Étapes progressives mais non linéaires du processus d’intégration selon </w:t>
                      </w:r>
                      <w:proofErr w:type="spellStart"/>
                      <w:r w:rsidRPr="00D724C2">
                        <w:rPr>
                          <w:rFonts w:ascii="Arial" w:hAnsi="Arial" w:cs="Arial"/>
                          <w:color w:val="000000"/>
                          <w:sz w:val="18"/>
                        </w:rPr>
                        <w:t>Bela</w:t>
                      </w:r>
                      <w:proofErr w:type="spellEnd"/>
                      <w:r w:rsidRPr="00D724C2">
                        <w:rPr>
                          <w:rFonts w:ascii="Arial" w:hAnsi="Arial" w:cs="Arial"/>
                          <w:color w:val="000000"/>
                          <w:sz w:val="18"/>
                        </w:rPr>
                        <w:t xml:space="preserve"> Balassa.</w:t>
                      </w:r>
                    </w:p>
                    <w:p w:rsidR="00FD6EA5" w:rsidRPr="00D724C2" w:rsidRDefault="00FD6EA5" w:rsidP="00FD6EA5">
                      <w:pPr>
                        <w:spacing w:after="0" w:line="240" w:lineRule="auto"/>
                        <w:jc w:val="both"/>
                        <w:rPr>
                          <w:rFonts w:ascii="Arial" w:hAnsi="Arial" w:cs="Arial"/>
                          <w:color w:val="000000"/>
                          <w:sz w:val="18"/>
                        </w:rPr>
                      </w:pPr>
                      <w:r w:rsidRPr="00D724C2">
                        <w:rPr>
                          <w:rFonts w:ascii="Arial" w:hAnsi="Arial" w:cs="Arial"/>
                          <w:color w:val="000000"/>
                          <w:sz w:val="18"/>
                        </w:rPr>
                        <w:t xml:space="preserve">Triangle d’incompatibilité de </w:t>
                      </w:r>
                      <w:proofErr w:type="spellStart"/>
                      <w:r w:rsidRPr="00D724C2">
                        <w:rPr>
                          <w:rFonts w:ascii="Arial" w:hAnsi="Arial" w:cs="Arial"/>
                          <w:color w:val="000000"/>
                          <w:sz w:val="18"/>
                        </w:rPr>
                        <w:t>Mundell</w:t>
                      </w:r>
                      <w:proofErr w:type="spellEnd"/>
                      <w:r w:rsidRPr="00D724C2">
                        <w:rPr>
                          <w:rFonts w:ascii="Arial" w:hAnsi="Arial" w:cs="Arial"/>
                          <w:color w:val="000000"/>
                          <w:sz w:val="18"/>
                        </w:rPr>
                        <w:t xml:space="preserve"> : Impossibilité d’avoir à la fois des taux de change fixes, une libre circulation des capitaux et une autonomie de la politique monétaire, ce qui serait la situation la plus favorable à l’activité économique. </w:t>
                      </w:r>
                    </w:p>
                    <w:p w:rsidR="00FD6EA5" w:rsidRPr="00D724C2" w:rsidRDefault="00FD6EA5" w:rsidP="00FD6EA5">
                      <w:pPr>
                        <w:spacing w:after="0" w:line="240" w:lineRule="auto"/>
                        <w:jc w:val="both"/>
                        <w:rPr>
                          <w:rFonts w:ascii="Arial" w:hAnsi="Arial" w:cs="Arial"/>
                          <w:color w:val="000000"/>
                          <w:sz w:val="18"/>
                        </w:rPr>
                      </w:pPr>
                      <w:r w:rsidRPr="00D724C2">
                        <w:rPr>
                          <w:rFonts w:ascii="Arial" w:hAnsi="Arial" w:cs="Arial"/>
                          <w:color w:val="000000"/>
                          <w:sz w:val="18"/>
                        </w:rPr>
                        <w:t>Notion et mécanismes de chocs asymétriques.</w:t>
                      </w:r>
                    </w:p>
                    <w:p w:rsidR="00FD6EA5" w:rsidRPr="00D724C2" w:rsidRDefault="00FD6EA5" w:rsidP="00FD6EA5">
                      <w:pPr>
                        <w:spacing w:after="0" w:line="240" w:lineRule="auto"/>
                        <w:jc w:val="both"/>
                        <w:rPr>
                          <w:rFonts w:ascii="Arial" w:hAnsi="Arial" w:cs="Arial"/>
                          <w:color w:val="000000"/>
                          <w:sz w:val="18"/>
                        </w:rPr>
                      </w:pPr>
                      <w:r w:rsidRPr="00D724C2">
                        <w:rPr>
                          <w:rFonts w:ascii="Arial" w:hAnsi="Arial" w:cs="Arial"/>
                          <w:color w:val="000000"/>
                          <w:sz w:val="18"/>
                        </w:rPr>
                        <w:t>Question de la concurrence sociale, fiscale, environnementale (la concurrence entre pays l’emporterait sur la coopération ?).</w:t>
                      </w:r>
                    </w:p>
                  </w:txbxContent>
                </v:textbox>
              </v:shape>
            </w:pict>
          </mc:Fallback>
        </mc:AlternateContent>
      </w:r>
      <w:r w:rsidRPr="00FD6EA5">
        <w:rPr>
          <w:rFonts w:ascii="Arial" w:eastAsia="Times New Roman" w:hAnsi="Arial" w:cs="Arial"/>
          <w:b/>
          <w:noProof/>
          <w:color w:val="000000"/>
          <w:sz w:val="28"/>
          <w:szCs w:val="28"/>
          <w:lang w:eastAsia="fr-FR"/>
        </w:rPr>
        <mc:AlternateContent>
          <mc:Choice Requires="wps">
            <w:drawing>
              <wp:anchor distT="36576" distB="36576" distL="36576" distR="36576" simplePos="0" relativeHeight="251651072" behindDoc="0" locked="0" layoutInCell="1" allowOverlap="1" wp14:anchorId="57CBC9BA" wp14:editId="4006D44A">
                <wp:simplePos x="0" y="0"/>
                <wp:positionH relativeFrom="column">
                  <wp:posOffset>3687356</wp:posOffset>
                </wp:positionH>
                <wp:positionV relativeFrom="paragraph">
                  <wp:posOffset>80010</wp:posOffset>
                </wp:positionV>
                <wp:extent cx="2220595" cy="3876675"/>
                <wp:effectExtent l="0" t="0" r="27305" b="2667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387667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D6EA5" w:rsidRPr="00D724C2" w:rsidRDefault="00FD6EA5" w:rsidP="00FD6EA5">
                            <w:pPr>
                              <w:spacing w:after="0" w:line="240" w:lineRule="auto"/>
                              <w:jc w:val="center"/>
                              <w:rPr>
                                <w:rFonts w:ascii="Arial" w:hAnsi="Arial" w:cs="Arial"/>
                                <w:sz w:val="20"/>
                                <w:szCs w:val="20"/>
                              </w:rPr>
                            </w:pPr>
                            <w:r w:rsidRPr="00D724C2">
                              <w:rPr>
                                <w:rFonts w:ascii="Arial" w:hAnsi="Arial" w:cs="Arial"/>
                                <w:b/>
                                <w:sz w:val="20"/>
                                <w:szCs w:val="20"/>
                              </w:rPr>
                              <w:t>Les notions du programme</w:t>
                            </w:r>
                          </w:p>
                          <w:p w:rsidR="00FD6EA5" w:rsidRPr="00D724C2" w:rsidRDefault="00FD6EA5" w:rsidP="00D724C2">
                            <w:pPr>
                              <w:spacing w:before="60" w:after="0" w:line="240" w:lineRule="auto"/>
                              <w:jc w:val="both"/>
                              <w:rPr>
                                <w:rFonts w:ascii="Arial" w:hAnsi="Arial" w:cs="Arial"/>
                                <w:sz w:val="18"/>
                                <w:szCs w:val="18"/>
                              </w:rPr>
                            </w:pPr>
                            <w:r w:rsidRPr="00D724C2">
                              <w:rPr>
                                <w:rFonts w:ascii="Arial" w:hAnsi="Arial" w:cs="Arial"/>
                                <w:b/>
                                <w:sz w:val="18"/>
                                <w:szCs w:val="18"/>
                              </w:rPr>
                              <w:t>Mondialisation :</w:t>
                            </w:r>
                            <w:r w:rsidRPr="00D724C2">
                              <w:rPr>
                                <w:rFonts w:ascii="Arial" w:hAnsi="Arial" w:cs="Arial"/>
                                <w:sz w:val="18"/>
                                <w:szCs w:val="18"/>
                              </w:rPr>
                              <w:t xml:space="preserve"> émergence d’un vaste marché mondial des marchandises, des capitaux et des personnes.</w:t>
                            </w:r>
                          </w:p>
                          <w:p w:rsidR="00FD6EA5" w:rsidRPr="00D724C2" w:rsidRDefault="00FD6EA5" w:rsidP="00D724C2">
                            <w:pPr>
                              <w:spacing w:before="60" w:after="0" w:line="240" w:lineRule="auto"/>
                              <w:jc w:val="both"/>
                              <w:rPr>
                                <w:rFonts w:ascii="Arial" w:hAnsi="Arial" w:cs="Arial"/>
                                <w:sz w:val="18"/>
                                <w:szCs w:val="18"/>
                              </w:rPr>
                            </w:pPr>
                            <w:r w:rsidRPr="00D724C2">
                              <w:rPr>
                                <w:rFonts w:ascii="Arial" w:hAnsi="Arial" w:cs="Arial"/>
                                <w:b/>
                                <w:sz w:val="18"/>
                                <w:szCs w:val="18"/>
                              </w:rPr>
                              <w:t>Finance internationale :</w:t>
                            </w:r>
                            <w:r w:rsidRPr="00D724C2">
                              <w:rPr>
                                <w:rFonts w:ascii="Arial" w:hAnsi="Arial" w:cs="Arial"/>
                                <w:sz w:val="18"/>
                                <w:szCs w:val="18"/>
                              </w:rPr>
                              <w:t xml:space="preserve"> ensemble des flux de capitaux et de devises entre pays ainsi que les institutions qui les régulent.</w:t>
                            </w:r>
                          </w:p>
                          <w:p w:rsidR="00FD6EA5" w:rsidRPr="00D724C2" w:rsidRDefault="00FD6EA5" w:rsidP="00D724C2">
                            <w:pPr>
                              <w:spacing w:before="60" w:after="0" w:line="240" w:lineRule="auto"/>
                              <w:jc w:val="both"/>
                              <w:rPr>
                                <w:rFonts w:ascii="Arial" w:hAnsi="Arial" w:cs="Arial"/>
                                <w:sz w:val="18"/>
                                <w:szCs w:val="18"/>
                              </w:rPr>
                            </w:pPr>
                            <w:r w:rsidRPr="00D724C2">
                              <w:rPr>
                                <w:rFonts w:ascii="Arial" w:hAnsi="Arial" w:cs="Arial"/>
                                <w:b/>
                                <w:sz w:val="18"/>
                                <w:szCs w:val="18"/>
                              </w:rPr>
                              <w:t>Euro :</w:t>
                            </w:r>
                            <w:r w:rsidRPr="00D724C2">
                              <w:rPr>
                                <w:rFonts w:ascii="Arial" w:hAnsi="Arial" w:cs="Arial"/>
                                <w:sz w:val="18"/>
                                <w:szCs w:val="18"/>
                              </w:rPr>
                              <w:t xml:space="preserve"> nom de la monnaie unique européenne</w:t>
                            </w:r>
                          </w:p>
                          <w:p w:rsidR="00FD6EA5" w:rsidRPr="00D724C2" w:rsidRDefault="00FD6EA5" w:rsidP="00D724C2">
                            <w:pPr>
                              <w:spacing w:before="60" w:after="0" w:line="240" w:lineRule="auto"/>
                              <w:jc w:val="both"/>
                              <w:rPr>
                                <w:rFonts w:ascii="Arial" w:hAnsi="Arial" w:cs="Arial"/>
                                <w:sz w:val="18"/>
                                <w:szCs w:val="18"/>
                              </w:rPr>
                            </w:pPr>
                            <w:r w:rsidRPr="00D724C2">
                              <w:rPr>
                                <w:rFonts w:ascii="Arial" w:hAnsi="Arial" w:cs="Arial"/>
                                <w:b/>
                                <w:sz w:val="18"/>
                                <w:szCs w:val="18"/>
                              </w:rPr>
                              <w:t>Union économique et monétaire :</w:t>
                            </w:r>
                            <w:r w:rsidRPr="00D724C2">
                              <w:rPr>
                                <w:rFonts w:ascii="Arial" w:hAnsi="Arial" w:cs="Arial"/>
                                <w:sz w:val="18"/>
                                <w:szCs w:val="18"/>
                              </w:rPr>
                              <w:t xml:space="preserve"> zone qui se caractérise par un vaste marché des biens, des services, des capitaux et de la main d’œuvre, par une monnaie et une politique monétaire uniques ainsi que par une certaine harmonisation des politiques économiques. </w:t>
                            </w:r>
                          </w:p>
                          <w:p w:rsidR="00FD6EA5" w:rsidRPr="00D724C2" w:rsidRDefault="00FD6EA5" w:rsidP="00D724C2">
                            <w:pPr>
                              <w:spacing w:before="60" w:after="0" w:line="240" w:lineRule="auto"/>
                              <w:jc w:val="both"/>
                              <w:rPr>
                                <w:rFonts w:ascii="Arial" w:hAnsi="Arial" w:cs="Arial"/>
                                <w:sz w:val="18"/>
                                <w:szCs w:val="18"/>
                              </w:rPr>
                            </w:pPr>
                            <w:r w:rsidRPr="00D724C2">
                              <w:rPr>
                                <w:rFonts w:ascii="Arial" w:hAnsi="Arial" w:cs="Arial"/>
                                <w:b/>
                                <w:sz w:val="18"/>
                                <w:szCs w:val="18"/>
                              </w:rPr>
                              <w:t>Intégration européenne :</w:t>
                            </w:r>
                            <w:r w:rsidRPr="00D724C2">
                              <w:rPr>
                                <w:rFonts w:ascii="Arial" w:hAnsi="Arial" w:cs="Arial"/>
                                <w:sz w:val="18"/>
                                <w:szCs w:val="18"/>
                              </w:rPr>
                              <w:t xml:space="preserve"> processus par lequel des pays européens se dotent d’un marché unique, d’une monnaie unique et d’une certaine harmonisation des politiques économiques, fiscales, sociales… voire réalisent une Union politique</w:t>
                            </w:r>
                          </w:p>
                          <w:p w:rsidR="00FD6EA5" w:rsidRPr="00D724C2" w:rsidRDefault="00FD6EA5" w:rsidP="00D724C2">
                            <w:pPr>
                              <w:spacing w:before="60" w:after="0" w:line="240" w:lineRule="auto"/>
                              <w:jc w:val="center"/>
                              <w:rPr>
                                <w:rFonts w:ascii="Arial" w:hAnsi="Arial" w:cs="Arial"/>
                                <w:color w:val="000000"/>
                                <w:sz w:val="18"/>
                                <w:szCs w:val="18"/>
                              </w:rPr>
                            </w:pPr>
                            <w:r w:rsidRPr="00D724C2">
                              <w:rPr>
                                <w:rFonts w:ascii="Arial" w:hAnsi="Arial" w:cs="Arial"/>
                                <w:b/>
                                <w:color w:val="000000"/>
                                <w:sz w:val="18"/>
                                <w:szCs w:val="18"/>
                              </w:rPr>
                              <w:t>Acquis de première</w:t>
                            </w:r>
                          </w:p>
                          <w:p w:rsidR="00FD6EA5" w:rsidRPr="00D724C2" w:rsidRDefault="00FD6EA5" w:rsidP="00FD6EA5">
                            <w:pPr>
                              <w:spacing w:after="0" w:line="240" w:lineRule="auto"/>
                              <w:jc w:val="both"/>
                              <w:rPr>
                                <w:rFonts w:ascii="Arial" w:hAnsi="Arial" w:cs="Arial"/>
                                <w:color w:val="000000"/>
                                <w:sz w:val="18"/>
                                <w:szCs w:val="18"/>
                              </w:rPr>
                            </w:pPr>
                            <w:r w:rsidRPr="00D724C2">
                              <w:rPr>
                                <w:rFonts w:ascii="Arial" w:hAnsi="Arial" w:cs="Arial"/>
                                <w:color w:val="000000"/>
                                <w:sz w:val="18"/>
                                <w:szCs w:val="18"/>
                              </w:rPr>
                              <w:t>Banque centrale, politique budgétaire, politique monétaire, politique conjoncturelle.</w:t>
                            </w:r>
                          </w:p>
                        </w:txbxContent>
                      </wps:txbx>
                      <wps:bodyPr rot="0" vert="horz" wrap="squar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CBC9BA" id="Text Box 8" o:spid="_x0000_s1031" type="#_x0000_t202" style="position:absolute;left:0;text-align:left;margin-left:290.35pt;margin-top:6.3pt;width:174.85pt;height:305.2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" filled="f" strokeweight="1pt">
                <v:shadow color="#ccc"/>
                <v:textbox style="mso-fit-shape-to-text:t" inset="2.88pt,2.88pt,2.88pt,2.88pt">
                  <w:txbxContent>
                    <w:p w:rsidR="00FD6EA5" w:rsidRPr="00D724C2" w:rsidRDefault="00FD6EA5" w:rsidP="00FD6EA5">
                      <w:pPr>
                        <w:spacing w:after="0" w:line="240" w:lineRule="auto"/>
                        <w:jc w:val="center"/>
                        <w:rPr>
                          <w:rFonts w:ascii="Arial" w:hAnsi="Arial" w:cs="Arial"/>
                          <w:sz w:val="20"/>
                          <w:szCs w:val="20"/>
                        </w:rPr>
                      </w:pPr>
                      <w:r w:rsidRPr="00D724C2">
                        <w:rPr>
                          <w:rFonts w:ascii="Arial" w:hAnsi="Arial" w:cs="Arial"/>
                          <w:b/>
                          <w:sz w:val="20"/>
                          <w:szCs w:val="20"/>
                        </w:rPr>
                        <w:t>Les notions du programme</w:t>
                      </w:r>
                    </w:p>
                    <w:p w:rsidR="00FD6EA5" w:rsidRPr="00D724C2" w:rsidRDefault="00FD6EA5" w:rsidP="00D724C2">
                      <w:pPr>
                        <w:spacing w:before="60" w:after="0" w:line="240" w:lineRule="auto"/>
                        <w:jc w:val="both"/>
                        <w:rPr>
                          <w:rFonts w:ascii="Arial" w:hAnsi="Arial" w:cs="Arial"/>
                          <w:sz w:val="18"/>
                          <w:szCs w:val="18"/>
                        </w:rPr>
                      </w:pPr>
                      <w:r w:rsidRPr="00D724C2">
                        <w:rPr>
                          <w:rFonts w:ascii="Arial" w:hAnsi="Arial" w:cs="Arial"/>
                          <w:b/>
                          <w:sz w:val="18"/>
                          <w:szCs w:val="18"/>
                        </w:rPr>
                        <w:t>Mondialisation :</w:t>
                      </w:r>
                      <w:r w:rsidRPr="00D724C2">
                        <w:rPr>
                          <w:rFonts w:ascii="Arial" w:hAnsi="Arial" w:cs="Arial"/>
                          <w:sz w:val="18"/>
                          <w:szCs w:val="18"/>
                        </w:rPr>
                        <w:t xml:space="preserve"> émergence d’un vaste marché mondial des marchandises, des capitaux et des personnes.</w:t>
                      </w:r>
                    </w:p>
                    <w:p w:rsidR="00FD6EA5" w:rsidRPr="00D724C2" w:rsidRDefault="00FD6EA5" w:rsidP="00D724C2">
                      <w:pPr>
                        <w:spacing w:before="60" w:after="0" w:line="240" w:lineRule="auto"/>
                        <w:jc w:val="both"/>
                        <w:rPr>
                          <w:rFonts w:ascii="Arial" w:hAnsi="Arial" w:cs="Arial"/>
                          <w:sz w:val="18"/>
                          <w:szCs w:val="18"/>
                        </w:rPr>
                      </w:pPr>
                      <w:r w:rsidRPr="00D724C2">
                        <w:rPr>
                          <w:rFonts w:ascii="Arial" w:hAnsi="Arial" w:cs="Arial"/>
                          <w:b/>
                          <w:sz w:val="18"/>
                          <w:szCs w:val="18"/>
                        </w:rPr>
                        <w:t>Finance internationale :</w:t>
                      </w:r>
                      <w:r w:rsidRPr="00D724C2">
                        <w:rPr>
                          <w:rFonts w:ascii="Arial" w:hAnsi="Arial" w:cs="Arial"/>
                          <w:sz w:val="18"/>
                          <w:szCs w:val="18"/>
                        </w:rPr>
                        <w:t xml:space="preserve"> ensemble des flux de capitaux et de devises entre pays ainsi que les institutions qui les régulent.</w:t>
                      </w:r>
                    </w:p>
                    <w:p w:rsidR="00FD6EA5" w:rsidRPr="00D724C2" w:rsidRDefault="00FD6EA5" w:rsidP="00D724C2">
                      <w:pPr>
                        <w:spacing w:before="60" w:after="0" w:line="240" w:lineRule="auto"/>
                        <w:jc w:val="both"/>
                        <w:rPr>
                          <w:rFonts w:ascii="Arial" w:hAnsi="Arial" w:cs="Arial"/>
                          <w:sz w:val="18"/>
                          <w:szCs w:val="18"/>
                        </w:rPr>
                      </w:pPr>
                      <w:r w:rsidRPr="00D724C2">
                        <w:rPr>
                          <w:rFonts w:ascii="Arial" w:hAnsi="Arial" w:cs="Arial"/>
                          <w:b/>
                          <w:sz w:val="18"/>
                          <w:szCs w:val="18"/>
                        </w:rPr>
                        <w:t>Euro :</w:t>
                      </w:r>
                      <w:r w:rsidRPr="00D724C2">
                        <w:rPr>
                          <w:rFonts w:ascii="Arial" w:hAnsi="Arial" w:cs="Arial"/>
                          <w:sz w:val="18"/>
                          <w:szCs w:val="18"/>
                        </w:rPr>
                        <w:t xml:space="preserve"> nom de la monnaie unique européenne</w:t>
                      </w:r>
                    </w:p>
                    <w:p w:rsidR="00FD6EA5" w:rsidRPr="00D724C2" w:rsidRDefault="00FD6EA5" w:rsidP="00D724C2">
                      <w:pPr>
                        <w:spacing w:before="60" w:after="0" w:line="240" w:lineRule="auto"/>
                        <w:jc w:val="both"/>
                        <w:rPr>
                          <w:rFonts w:ascii="Arial" w:hAnsi="Arial" w:cs="Arial"/>
                          <w:sz w:val="18"/>
                          <w:szCs w:val="18"/>
                        </w:rPr>
                      </w:pPr>
                      <w:r w:rsidRPr="00D724C2">
                        <w:rPr>
                          <w:rFonts w:ascii="Arial" w:hAnsi="Arial" w:cs="Arial"/>
                          <w:b/>
                          <w:sz w:val="18"/>
                          <w:szCs w:val="18"/>
                        </w:rPr>
                        <w:t>Union économique et monétaire :</w:t>
                      </w:r>
                      <w:r w:rsidRPr="00D724C2">
                        <w:rPr>
                          <w:rFonts w:ascii="Arial" w:hAnsi="Arial" w:cs="Arial"/>
                          <w:sz w:val="18"/>
                          <w:szCs w:val="18"/>
                        </w:rPr>
                        <w:t xml:space="preserve"> zone qui se caractérise par un vaste marché des biens, des services, des capitaux et de la main d’œuvre, par une monnaie et une politique monétaire uniques ainsi que par une certaine harmonisation des politiques économiques. </w:t>
                      </w:r>
                    </w:p>
                    <w:p w:rsidR="00FD6EA5" w:rsidRPr="00D724C2" w:rsidRDefault="00FD6EA5" w:rsidP="00D724C2">
                      <w:pPr>
                        <w:spacing w:before="60" w:after="0" w:line="240" w:lineRule="auto"/>
                        <w:jc w:val="both"/>
                        <w:rPr>
                          <w:rFonts w:ascii="Arial" w:hAnsi="Arial" w:cs="Arial"/>
                          <w:sz w:val="18"/>
                          <w:szCs w:val="18"/>
                        </w:rPr>
                      </w:pPr>
                      <w:r w:rsidRPr="00D724C2">
                        <w:rPr>
                          <w:rFonts w:ascii="Arial" w:hAnsi="Arial" w:cs="Arial"/>
                          <w:b/>
                          <w:sz w:val="18"/>
                          <w:szCs w:val="18"/>
                        </w:rPr>
                        <w:t>Intégration européenne :</w:t>
                      </w:r>
                      <w:r w:rsidRPr="00D724C2">
                        <w:rPr>
                          <w:rFonts w:ascii="Arial" w:hAnsi="Arial" w:cs="Arial"/>
                          <w:sz w:val="18"/>
                          <w:szCs w:val="18"/>
                        </w:rPr>
                        <w:t xml:space="preserve"> processus par lequel des pays européens se dotent d’un marché unique, d’une monnaie unique et d’une certaine harmonisation des politiques économiques, fiscales, sociales… voire réalisent une Union politique</w:t>
                      </w:r>
                    </w:p>
                    <w:p w:rsidR="00FD6EA5" w:rsidRPr="00D724C2" w:rsidRDefault="00FD6EA5" w:rsidP="00D724C2">
                      <w:pPr>
                        <w:spacing w:before="60" w:after="0" w:line="240" w:lineRule="auto"/>
                        <w:jc w:val="center"/>
                        <w:rPr>
                          <w:rFonts w:ascii="Arial" w:hAnsi="Arial" w:cs="Arial"/>
                          <w:color w:val="000000"/>
                          <w:sz w:val="18"/>
                          <w:szCs w:val="18"/>
                        </w:rPr>
                      </w:pPr>
                      <w:r w:rsidRPr="00D724C2">
                        <w:rPr>
                          <w:rFonts w:ascii="Arial" w:hAnsi="Arial" w:cs="Arial"/>
                          <w:b/>
                          <w:color w:val="000000"/>
                          <w:sz w:val="18"/>
                          <w:szCs w:val="18"/>
                        </w:rPr>
                        <w:t>Acquis de première</w:t>
                      </w:r>
                    </w:p>
                    <w:p w:rsidR="00FD6EA5" w:rsidRPr="00D724C2" w:rsidRDefault="00FD6EA5" w:rsidP="00FD6EA5">
                      <w:pPr>
                        <w:spacing w:after="0" w:line="240" w:lineRule="auto"/>
                        <w:jc w:val="both"/>
                        <w:rPr>
                          <w:rFonts w:ascii="Arial" w:hAnsi="Arial" w:cs="Arial"/>
                          <w:color w:val="000000"/>
                          <w:sz w:val="18"/>
                          <w:szCs w:val="18"/>
                        </w:rPr>
                      </w:pPr>
                      <w:r w:rsidRPr="00D724C2">
                        <w:rPr>
                          <w:rFonts w:ascii="Arial" w:hAnsi="Arial" w:cs="Arial"/>
                          <w:color w:val="000000"/>
                          <w:sz w:val="18"/>
                          <w:szCs w:val="18"/>
                        </w:rPr>
                        <w:t>Banque centrale, politique budgétaire, politique monétaire, politique conjoncturelle.</w:t>
                      </w:r>
                    </w:p>
                  </w:txbxContent>
                </v:textbox>
              </v:shape>
            </w:pict>
          </mc:Fallback>
        </mc:AlternateContent>
      </w:r>
      <w:r w:rsidRPr="00FD6EA5">
        <w:rPr>
          <w:rFonts w:ascii="Arial" w:eastAsia="Times New Roman" w:hAnsi="Arial" w:cs="Arial"/>
          <w:b/>
          <w:noProof/>
          <w:color w:val="000000"/>
          <w:sz w:val="28"/>
          <w:szCs w:val="28"/>
          <w:lang w:eastAsia="fr-FR"/>
        </w:rPr>
        <mc:AlternateContent>
          <mc:Choice Requires="wps">
            <w:drawing>
              <wp:anchor distT="36576" distB="36576" distL="36576" distR="36576" simplePos="0" relativeHeight="251663360" behindDoc="0" locked="0" layoutInCell="1" allowOverlap="1" wp14:anchorId="610AEE0D" wp14:editId="7B5B5A63">
                <wp:simplePos x="0" y="0"/>
                <wp:positionH relativeFrom="column">
                  <wp:posOffset>-231140</wp:posOffset>
                </wp:positionH>
                <wp:positionV relativeFrom="paragraph">
                  <wp:posOffset>1663673</wp:posOffset>
                </wp:positionV>
                <wp:extent cx="3882980" cy="4895850"/>
                <wp:effectExtent l="0" t="0" r="22860" b="1524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980" cy="489585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D6EA5" w:rsidRPr="00D724C2" w:rsidRDefault="00FD6EA5" w:rsidP="00FD6EA5">
                            <w:pPr>
                              <w:spacing w:after="0" w:line="240" w:lineRule="auto"/>
                              <w:jc w:val="center"/>
                              <w:rPr>
                                <w:rFonts w:ascii="Arial" w:hAnsi="Arial" w:cs="Arial"/>
                                <w:b/>
                                <w:color w:val="000000"/>
                                <w:kern w:val="28"/>
                                <w:sz w:val="18"/>
                                <w:szCs w:val="18"/>
                              </w:rPr>
                            </w:pPr>
                            <w:r w:rsidRPr="00D724C2">
                              <w:rPr>
                                <w:rFonts w:ascii="Arial" w:hAnsi="Arial" w:cs="Arial"/>
                                <w:b/>
                                <w:color w:val="000000"/>
                                <w:kern w:val="28"/>
                                <w:sz w:val="18"/>
                                <w:szCs w:val="18"/>
                              </w:rPr>
                              <w:t>Mécanismes économiques à mobiliser</w:t>
                            </w:r>
                          </w:p>
                          <w:p w:rsidR="00FD6EA5" w:rsidRPr="00D724C2" w:rsidRDefault="00FD6EA5" w:rsidP="00D724C2">
                            <w:pPr>
                              <w:spacing w:before="60" w:after="0" w:line="240" w:lineRule="auto"/>
                              <w:jc w:val="both"/>
                              <w:rPr>
                                <w:rFonts w:ascii="Arial" w:hAnsi="Arial" w:cs="Arial"/>
                                <w:b/>
                                <w:i/>
                                <w:color w:val="000000"/>
                                <w:kern w:val="28"/>
                                <w:sz w:val="18"/>
                                <w:szCs w:val="18"/>
                              </w:rPr>
                            </w:pPr>
                            <w:r w:rsidRPr="00D724C2">
                              <w:rPr>
                                <w:rFonts w:ascii="Arial" w:hAnsi="Arial" w:cs="Arial"/>
                                <w:b/>
                                <w:i/>
                                <w:color w:val="000000"/>
                                <w:kern w:val="28"/>
                                <w:sz w:val="18"/>
                                <w:szCs w:val="18"/>
                              </w:rPr>
                              <w:t>Axe 1</w:t>
                            </w:r>
                          </w:p>
                          <w:p w:rsidR="00FD6EA5" w:rsidRPr="00D724C2" w:rsidRDefault="00FD6EA5" w:rsidP="00FD6EA5">
                            <w:pPr>
                              <w:spacing w:after="0" w:line="240" w:lineRule="auto"/>
                              <w:jc w:val="both"/>
                              <w:rPr>
                                <w:rFonts w:ascii="Arial" w:hAnsi="Arial" w:cs="Arial"/>
                                <w:kern w:val="28"/>
                                <w:sz w:val="18"/>
                                <w:szCs w:val="18"/>
                              </w:rPr>
                            </w:pPr>
                            <w:r w:rsidRPr="00D724C2">
                              <w:rPr>
                                <w:rFonts w:ascii="Arial" w:hAnsi="Arial" w:cs="Arial"/>
                                <w:kern w:val="28"/>
                                <w:sz w:val="18"/>
                                <w:szCs w:val="18"/>
                              </w:rPr>
                              <w:t>Un processus d’intégration économique et monétaire original dans une zone européenne qui s’élargit : suppression des barrières douanières, libre circulation des marchandises, des capitaux et des personnes =&gt; création d’un marché commun, mise en œuvre de politiques communes (ex : la PAC) ; puis =&gt; marché unique (ex. : politique monétaire), mise en place d’une monnaie unique, d’institutions politiques et de processus de décisions.</w:t>
                            </w:r>
                          </w:p>
                          <w:p w:rsidR="00FD6EA5" w:rsidRPr="00D724C2" w:rsidRDefault="00FD6EA5" w:rsidP="00D724C2">
                            <w:pPr>
                              <w:spacing w:before="60" w:after="0" w:line="240" w:lineRule="auto"/>
                              <w:jc w:val="both"/>
                              <w:rPr>
                                <w:rFonts w:ascii="Arial" w:hAnsi="Arial" w:cs="Arial"/>
                                <w:b/>
                                <w:i/>
                                <w:sz w:val="18"/>
                                <w:szCs w:val="18"/>
                              </w:rPr>
                            </w:pPr>
                            <w:r w:rsidRPr="00D724C2">
                              <w:rPr>
                                <w:rFonts w:ascii="Arial" w:hAnsi="Arial" w:cs="Arial"/>
                                <w:b/>
                                <w:i/>
                                <w:sz w:val="18"/>
                                <w:szCs w:val="18"/>
                              </w:rPr>
                              <w:t>Axe 2</w:t>
                            </w:r>
                          </w:p>
                          <w:p w:rsidR="00FD6EA5" w:rsidRPr="00D724C2" w:rsidRDefault="00FD6EA5" w:rsidP="00FD6EA5">
                            <w:pPr>
                              <w:spacing w:after="0" w:line="240" w:lineRule="auto"/>
                              <w:jc w:val="both"/>
                              <w:rPr>
                                <w:rFonts w:ascii="Arial" w:hAnsi="Arial" w:cs="Arial"/>
                                <w:color w:val="000000"/>
                                <w:kern w:val="28"/>
                                <w:sz w:val="18"/>
                                <w:szCs w:val="18"/>
                              </w:rPr>
                            </w:pPr>
                            <w:r w:rsidRPr="00D724C2">
                              <w:rPr>
                                <w:rFonts w:ascii="Arial" w:hAnsi="Arial" w:cs="Arial"/>
                                <w:color w:val="000000"/>
                                <w:kern w:val="28"/>
                                <w:sz w:val="18"/>
                                <w:szCs w:val="18"/>
                              </w:rPr>
                              <w:t xml:space="preserve">Dans un contexte d’instabilité monétaire et financière mondiale : </w:t>
                            </w:r>
                          </w:p>
                          <w:p w:rsidR="00FD6EA5" w:rsidRPr="00D724C2" w:rsidRDefault="00FD6EA5" w:rsidP="00FD6EA5">
                            <w:pPr>
                              <w:spacing w:after="0" w:line="240" w:lineRule="auto"/>
                              <w:jc w:val="both"/>
                              <w:rPr>
                                <w:rFonts w:ascii="Arial" w:hAnsi="Arial" w:cs="Arial"/>
                                <w:color w:val="000000"/>
                                <w:kern w:val="28"/>
                                <w:sz w:val="18"/>
                                <w:szCs w:val="18"/>
                              </w:rPr>
                            </w:pPr>
                            <w:r w:rsidRPr="00D724C2">
                              <w:rPr>
                                <w:rFonts w:ascii="Arial" w:hAnsi="Arial" w:cs="Arial"/>
                                <w:color w:val="000000"/>
                                <w:kern w:val="28"/>
                                <w:sz w:val="18"/>
                                <w:szCs w:val="18"/>
                              </w:rPr>
                              <w:t>- la zone euro apparaît comme une zone de relative stabilité et de confiance favorable à la croissance,</w:t>
                            </w:r>
                          </w:p>
                          <w:p w:rsidR="00FD6EA5" w:rsidRPr="00D724C2" w:rsidRDefault="00FD6EA5" w:rsidP="00FD6EA5">
                            <w:pPr>
                              <w:spacing w:after="0" w:line="240" w:lineRule="auto"/>
                              <w:jc w:val="both"/>
                              <w:rPr>
                                <w:rFonts w:ascii="Arial" w:hAnsi="Arial" w:cs="Arial"/>
                                <w:color w:val="000000"/>
                                <w:kern w:val="28"/>
                                <w:sz w:val="18"/>
                                <w:szCs w:val="18"/>
                              </w:rPr>
                            </w:pPr>
                            <w:r w:rsidRPr="00D724C2">
                              <w:rPr>
                                <w:rFonts w:ascii="Arial" w:hAnsi="Arial" w:cs="Arial"/>
                                <w:color w:val="000000"/>
                                <w:kern w:val="28"/>
                                <w:sz w:val="18"/>
                                <w:szCs w:val="18"/>
                              </w:rPr>
                              <w:t>- sans les éviter, la politique monétaire unique de la zone euro permet de mieux faire face aux conséquences des crises monétaires et financières.</w:t>
                            </w:r>
                          </w:p>
                          <w:p w:rsidR="00FD6EA5" w:rsidRPr="00D724C2" w:rsidRDefault="00FD6EA5" w:rsidP="00FD6EA5">
                            <w:pPr>
                              <w:spacing w:after="0" w:line="240" w:lineRule="auto"/>
                              <w:jc w:val="both"/>
                              <w:rPr>
                                <w:rFonts w:ascii="Arial" w:hAnsi="Arial" w:cs="Arial"/>
                                <w:kern w:val="28"/>
                                <w:sz w:val="18"/>
                                <w:szCs w:val="18"/>
                              </w:rPr>
                            </w:pPr>
                            <w:r w:rsidRPr="00D724C2">
                              <w:rPr>
                                <w:rFonts w:ascii="Arial" w:hAnsi="Arial" w:cs="Arial"/>
                                <w:color w:val="000000"/>
                                <w:kern w:val="28"/>
                                <w:sz w:val="18"/>
                                <w:szCs w:val="18"/>
                              </w:rPr>
                              <w:t xml:space="preserve">L’Union monétaire renforce de fait les interdépendances entre les politiques </w:t>
                            </w:r>
                            <w:r w:rsidRPr="00D724C2">
                              <w:rPr>
                                <w:rFonts w:ascii="Arial" w:hAnsi="Arial" w:cs="Arial"/>
                                <w:kern w:val="28"/>
                                <w:sz w:val="18"/>
                                <w:szCs w:val="18"/>
                              </w:rPr>
                              <w:t>économiques de la zone (entre politique monétaire et budgétaires et entre politiques budgétaires)…</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kern w:val="28"/>
                                <w:sz w:val="18"/>
                                <w:szCs w:val="18"/>
                              </w:rPr>
                              <w:t xml:space="preserve">… qui obligent à une coordination de ces politiques macroéconomiques : pacte de </w:t>
                            </w:r>
                            <w:r w:rsidRPr="00D724C2">
                              <w:rPr>
                                <w:rFonts w:ascii="Arial" w:hAnsi="Arial" w:cs="Arial"/>
                                <w:color w:val="000000"/>
                                <w:kern w:val="28"/>
                                <w:sz w:val="18"/>
                                <w:szCs w:val="18"/>
                              </w:rPr>
                              <w:t xml:space="preserve">stabilité et de croissance, politique monétaire unique, suppression des politiques monétaires non coopératives au sein de la zone euro. </w:t>
                            </w:r>
                            <w:r w:rsidRPr="00D724C2">
                              <w:rPr>
                                <w:rFonts w:ascii="Arial" w:hAnsi="Arial" w:cs="Arial"/>
                                <w:sz w:val="18"/>
                                <w:szCs w:val="18"/>
                              </w:rPr>
                              <w:t>Toutefois, ces interdépendances rendent difficile l’adaptation des politiques économiques aux situations particulières des États membres.</w:t>
                            </w:r>
                          </w:p>
                          <w:p w:rsidR="00FD6EA5" w:rsidRPr="00D724C2" w:rsidRDefault="00FD6EA5" w:rsidP="00D724C2">
                            <w:pPr>
                              <w:spacing w:before="60" w:after="0" w:line="240" w:lineRule="auto"/>
                              <w:jc w:val="both"/>
                              <w:rPr>
                                <w:rFonts w:ascii="Arial" w:hAnsi="Arial" w:cs="Arial"/>
                                <w:b/>
                                <w:i/>
                                <w:sz w:val="18"/>
                                <w:szCs w:val="18"/>
                              </w:rPr>
                            </w:pPr>
                            <w:r w:rsidRPr="00D724C2">
                              <w:rPr>
                                <w:rFonts w:ascii="Arial" w:hAnsi="Arial" w:cs="Arial"/>
                                <w:b/>
                                <w:i/>
                                <w:sz w:val="18"/>
                                <w:szCs w:val="18"/>
                              </w:rPr>
                              <w:t>Axe 3</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La coordination des politiques économiques est difficile en raison :</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 de situations économiques, sociales et priorités politiques diverses au sein de la zone,</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 de politiques budgétaires qui restent nationales et qui rendent difficile la coordination politique monétaire – politique</w:t>
                            </w:r>
                            <w:r w:rsidRPr="00D724C2">
                              <w:rPr>
                                <w:rFonts w:ascii="Arial" w:hAnsi="Arial" w:cs="Arial"/>
                                <w:sz w:val="18"/>
                                <w:szCs w:val="18"/>
                                <w:u w:val="single"/>
                              </w:rPr>
                              <w:t>s</w:t>
                            </w:r>
                            <w:r w:rsidRPr="00D724C2">
                              <w:rPr>
                                <w:rFonts w:ascii="Arial" w:hAnsi="Arial" w:cs="Arial"/>
                                <w:sz w:val="18"/>
                                <w:szCs w:val="18"/>
                              </w:rPr>
                              <w:t xml:space="preserve"> budgétaire</w:t>
                            </w:r>
                            <w:r w:rsidRPr="00D724C2">
                              <w:rPr>
                                <w:rFonts w:ascii="Arial" w:hAnsi="Arial" w:cs="Arial"/>
                                <w:sz w:val="18"/>
                                <w:szCs w:val="18"/>
                                <w:u w:val="single"/>
                              </w:rPr>
                              <w:t>s</w:t>
                            </w:r>
                            <w:r w:rsidRPr="00D724C2">
                              <w:rPr>
                                <w:rFonts w:ascii="Arial" w:hAnsi="Arial" w:cs="Arial"/>
                                <w:sz w:val="18"/>
                                <w:szCs w:val="18"/>
                              </w:rPr>
                              <w:t>,</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 de politiques économiques pas toujours coopératives,</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 faiblesse relative des budgets européens et des moyens de l’action structurelle.</w:t>
                            </w:r>
                          </w:p>
                        </w:txbxContent>
                      </wps:txbx>
                      <wps:bodyPr rot="0" vert="horz" wrap="squar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0AEE0D" id="Text Box 4" o:spid="_x0000_s1032" type="#_x0000_t202" style="position:absolute;left:0;text-align:left;margin-left:-18.2pt;margin-top:131pt;width:305.75pt;height:385.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" filled="f" strokeweight="1pt">
                <v:shadow color="#ccc"/>
                <v:textbox style="mso-fit-shape-to-text:t" inset="2.88pt,2.88pt,2.88pt,2.88pt">
                  <w:txbxContent>
                    <w:p w:rsidR="00FD6EA5" w:rsidRPr="00D724C2" w:rsidRDefault="00FD6EA5" w:rsidP="00FD6EA5">
                      <w:pPr>
                        <w:spacing w:after="0" w:line="240" w:lineRule="auto"/>
                        <w:jc w:val="center"/>
                        <w:rPr>
                          <w:rFonts w:ascii="Arial" w:hAnsi="Arial" w:cs="Arial"/>
                          <w:b/>
                          <w:color w:val="000000"/>
                          <w:kern w:val="28"/>
                          <w:sz w:val="18"/>
                          <w:szCs w:val="18"/>
                        </w:rPr>
                      </w:pPr>
                      <w:r w:rsidRPr="00D724C2">
                        <w:rPr>
                          <w:rFonts w:ascii="Arial" w:hAnsi="Arial" w:cs="Arial"/>
                          <w:b/>
                          <w:color w:val="000000"/>
                          <w:kern w:val="28"/>
                          <w:sz w:val="18"/>
                          <w:szCs w:val="18"/>
                        </w:rPr>
                        <w:t>Mécanismes économiques à mobiliser</w:t>
                      </w:r>
                    </w:p>
                    <w:p w:rsidR="00FD6EA5" w:rsidRPr="00D724C2" w:rsidRDefault="00FD6EA5" w:rsidP="00D724C2">
                      <w:pPr>
                        <w:spacing w:before="60" w:after="0" w:line="240" w:lineRule="auto"/>
                        <w:jc w:val="both"/>
                        <w:rPr>
                          <w:rFonts w:ascii="Arial" w:hAnsi="Arial" w:cs="Arial"/>
                          <w:b/>
                          <w:i/>
                          <w:color w:val="000000"/>
                          <w:kern w:val="28"/>
                          <w:sz w:val="18"/>
                          <w:szCs w:val="18"/>
                        </w:rPr>
                      </w:pPr>
                      <w:r w:rsidRPr="00D724C2">
                        <w:rPr>
                          <w:rFonts w:ascii="Arial" w:hAnsi="Arial" w:cs="Arial"/>
                          <w:b/>
                          <w:i/>
                          <w:color w:val="000000"/>
                          <w:kern w:val="28"/>
                          <w:sz w:val="18"/>
                          <w:szCs w:val="18"/>
                        </w:rPr>
                        <w:t>Axe 1</w:t>
                      </w:r>
                    </w:p>
                    <w:p w:rsidR="00FD6EA5" w:rsidRPr="00D724C2" w:rsidRDefault="00FD6EA5" w:rsidP="00FD6EA5">
                      <w:pPr>
                        <w:spacing w:after="0" w:line="240" w:lineRule="auto"/>
                        <w:jc w:val="both"/>
                        <w:rPr>
                          <w:rFonts w:ascii="Arial" w:hAnsi="Arial" w:cs="Arial"/>
                          <w:kern w:val="28"/>
                          <w:sz w:val="18"/>
                          <w:szCs w:val="18"/>
                        </w:rPr>
                      </w:pPr>
                      <w:r w:rsidRPr="00D724C2">
                        <w:rPr>
                          <w:rFonts w:ascii="Arial" w:hAnsi="Arial" w:cs="Arial"/>
                          <w:kern w:val="28"/>
                          <w:sz w:val="18"/>
                          <w:szCs w:val="18"/>
                        </w:rPr>
                        <w:t>Un processus d’intégration économique et monétaire original dans une zone européenne qui s’élargit : suppression des barrières douanières, libre circulation des marchandises, des capitaux et des personnes =&gt; création d’un marché commun, mise en œuvre de politiques communes (ex : la PAC) ; puis =&gt; marché unique (ex. : politique monétaire), mise en place d’une monnaie unique, d’institutions politiques et de processus de décisions.</w:t>
                      </w:r>
                    </w:p>
                    <w:p w:rsidR="00FD6EA5" w:rsidRPr="00D724C2" w:rsidRDefault="00FD6EA5" w:rsidP="00D724C2">
                      <w:pPr>
                        <w:spacing w:before="60" w:after="0" w:line="240" w:lineRule="auto"/>
                        <w:jc w:val="both"/>
                        <w:rPr>
                          <w:rFonts w:ascii="Arial" w:hAnsi="Arial" w:cs="Arial"/>
                          <w:b/>
                          <w:i/>
                          <w:sz w:val="18"/>
                          <w:szCs w:val="18"/>
                        </w:rPr>
                      </w:pPr>
                      <w:r w:rsidRPr="00D724C2">
                        <w:rPr>
                          <w:rFonts w:ascii="Arial" w:hAnsi="Arial" w:cs="Arial"/>
                          <w:b/>
                          <w:i/>
                          <w:sz w:val="18"/>
                          <w:szCs w:val="18"/>
                        </w:rPr>
                        <w:t>Axe 2</w:t>
                      </w:r>
                    </w:p>
                    <w:p w:rsidR="00FD6EA5" w:rsidRPr="00D724C2" w:rsidRDefault="00FD6EA5" w:rsidP="00FD6EA5">
                      <w:pPr>
                        <w:spacing w:after="0" w:line="240" w:lineRule="auto"/>
                        <w:jc w:val="both"/>
                        <w:rPr>
                          <w:rFonts w:ascii="Arial" w:hAnsi="Arial" w:cs="Arial"/>
                          <w:color w:val="000000"/>
                          <w:kern w:val="28"/>
                          <w:sz w:val="18"/>
                          <w:szCs w:val="18"/>
                        </w:rPr>
                      </w:pPr>
                      <w:r w:rsidRPr="00D724C2">
                        <w:rPr>
                          <w:rFonts w:ascii="Arial" w:hAnsi="Arial" w:cs="Arial"/>
                          <w:color w:val="000000"/>
                          <w:kern w:val="28"/>
                          <w:sz w:val="18"/>
                          <w:szCs w:val="18"/>
                        </w:rPr>
                        <w:t xml:space="preserve">Dans un contexte d’instabilité monétaire et financière mondiale : </w:t>
                      </w:r>
                    </w:p>
                    <w:p w:rsidR="00FD6EA5" w:rsidRPr="00D724C2" w:rsidRDefault="00FD6EA5" w:rsidP="00FD6EA5">
                      <w:pPr>
                        <w:spacing w:after="0" w:line="240" w:lineRule="auto"/>
                        <w:jc w:val="both"/>
                        <w:rPr>
                          <w:rFonts w:ascii="Arial" w:hAnsi="Arial" w:cs="Arial"/>
                          <w:color w:val="000000"/>
                          <w:kern w:val="28"/>
                          <w:sz w:val="18"/>
                          <w:szCs w:val="18"/>
                        </w:rPr>
                      </w:pPr>
                      <w:r w:rsidRPr="00D724C2">
                        <w:rPr>
                          <w:rFonts w:ascii="Arial" w:hAnsi="Arial" w:cs="Arial"/>
                          <w:color w:val="000000"/>
                          <w:kern w:val="28"/>
                          <w:sz w:val="18"/>
                          <w:szCs w:val="18"/>
                        </w:rPr>
                        <w:t>- la zone euro apparaît comme une zone de relative stabilité et de confiance favorable à la croissance,</w:t>
                      </w:r>
                    </w:p>
                    <w:p w:rsidR="00FD6EA5" w:rsidRPr="00D724C2" w:rsidRDefault="00FD6EA5" w:rsidP="00FD6EA5">
                      <w:pPr>
                        <w:spacing w:after="0" w:line="240" w:lineRule="auto"/>
                        <w:jc w:val="both"/>
                        <w:rPr>
                          <w:rFonts w:ascii="Arial" w:hAnsi="Arial" w:cs="Arial"/>
                          <w:color w:val="000000"/>
                          <w:kern w:val="28"/>
                          <w:sz w:val="18"/>
                          <w:szCs w:val="18"/>
                        </w:rPr>
                      </w:pPr>
                      <w:r w:rsidRPr="00D724C2">
                        <w:rPr>
                          <w:rFonts w:ascii="Arial" w:hAnsi="Arial" w:cs="Arial"/>
                          <w:color w:val="000000"/>
                          <w:kern w:val="28"/>
                          <w:sz w:val="18"/>
                          <w:szCs w:val="18"/>
                        </w:rPr>
                        <w:t>- sans les éviter, la politique monétaire unique de la zone euro permet de mieux faire face aux conséquences des crises monétaires et financières.</w:t>
                      </w:r>
                    </w:p>
                    <w:p w:rsidR="00FD6EA5" w:rsidRPr="00D724C2" w:rsidRDefault="00FD6EA5" w:rsidP="00FD6EA5">
                      <w:pPr>
                        <w:spacing w:after="0" w:line="240" w:lineRule="auto"/>
                        <w:jc w:val="both"/>
                        <w:rPr>
                          <w:rFonts w:ascii="Arial" w:hAnsi="Arial" w:cs="Arial"/>
                          <w:kern w:val="28"/>
                          <w:sz w:val="18"/>
                          <w:szCs w:val="18"/>
                        </w:rPr>
                      </w:pPr>
                      <w:r w:rsidRPr="00D724C2">
                        <w:rPr>
                          <w:rFonts w:ascii="Arial" w:hAnsi="Arial" w:cs="Arial"/>
                          <w:color w:val="000000"/>
                          <w:kern w:val="28"/>
                          <w:sz w:val="18"/>
                          <w:szCs w:val="18"/>
                        </w:rPr>
                        <w:t xml:space="preserve">L’Union monétaire renforce de fait les interdépendances entre les politiques </w:t>
                      </w:r>
                      <w:r w:rsidRPr="00D724C2">
                        <w:rPr>
                          <w:rFonts w:ascii="Arial" w:hAnsi="Arial" w:cs="Arial"/>
                          <w:kern w:val="28"/>
                          <w:sz w:val="18"/>
                          <w:szCs w:val="18"/>
                        </w:rPr>
                        <w:t>économiques de la zone (entre politique monétaire et budgétaires et entre politiques budgétaires)…</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kern w:val="28"/>
                          <w:sz w:val="18"/>
                          <w:szCs w:val="18"/>
                        </w:rPr>
                        <w:t xml:space="preserve">… qui obligent à une coordination de ces politiques macroéconomiques : pacte de </w:t>
                      </w:r>
                      <w:r w:rsidRPr="00D724C2">
                        <w:rPr>
                          <w:rFonts w:ascii="Arial" w:hAnsi="Arial" w:cs="Arial"/>
                          <w:color w:val="000000"/>
                          <w:kern w:val="28"/>
                          <w:sz w:val="18"/>
                          <w:szCs w:val="18"/>
                        </w:rPr>
                        <w:t xml:space="preserve">stabilité et de croissance, politique monétaire unique, suppression des politiques monétaires non coopératives au sein de la zone euro. </w:t>
                      </w:r>
                      <w:r w:rsidRPr="00D724C2">
                        <w:rPr>
                          <w:rFonts w:ascii="Arial" w:hAnsi="Arial" w:cs="Arial"/>
                          <w:sz w:val="18"/>
                          <w:szCs w:val="18"/>
                        </w:rPr>
                        <w:t>Toutefois, ces interdépendances rendent difficile l’adaptation des politiques économiques aux situations particulières des États membres.</w:t>
                      </w:r>
                    </w:p>
                    <w:p w:rsidR="00FD6EA5" w:rsidRPr="00D724C2" w:rsidRDefault="00FD6EA5" w:rsidP="00D724C2">
                      <w:pPr>
                        <w:spacing w:before="60" w:after="0" w:line="240" w:lineRule="auto"/>
                        <w:jc w:val="both"/>
                        <w:rPr>
                          <w:rFonts w:ascii="Arial" w:hAnsi="Arial" w:cs="Arial"/>
                          <w:b/>
                          <w:i/>
                          <w:sz w:val="18"/>
                          <w:szCs w:val="18"/>
                        </w:rPr>
                      </w:pPr>
                      <w:r w:rsidRPr="00D724C2">
                        <w:rPr>
                          <w:rFonts w:ascii="Arial" w:hAnsi="Arial" w:cs="Arial"/>
                          <w:b/>
                          <w:i/>
                          <w:sz w:val="18"/>
                          <w:szCs w:val="18"/>
                        </w:rPr>
                        <w:t>Axe 3</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La coordination des politiques économiques est difficile en raison :</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 de situations économiques, sociales et priorités politiques diverses au sein de la zone,</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 de politiques budgétaires qui restent nationales et qui rendent difficile la coordination politique monétaire – politique</w:t>
                      </w:r>
                      <w:r w:rsidRPr="00D724C2">
                        <w:rPr>
                          <w:rFonts w:ascii="Arial" w:hAnsi="Arial" w:cs="Arial"/>
                          <w:sz w:val="18"/>
                          <w:szCs w:val="18"/>
                          <w:u w:val="single"/>
                        </w:rPr>
                        <w:t>s</w:t>
                      </w:r>
                      <w:r w:rsidRPr="00D724C2">
                        <w:rPr>
                          <w:rFonts w:ascii="Arial" w:hAnsi="Arial" w:cs="Arial"/>
                          <w:sz w:val="18"/>
                          <w:szCs w:val="18"/>
                        </w:rPr>
                        <w:t xml:space="preserve"> budgétaire</w:t>
                      </w:r>
                      <w:r w:rsidRPr="00D724C2">
                        <w:rPr>
                          <w:rFonts w:ascii="Arial" w:hAnsi="Arial" w:cs="Arial"/>
                          <w:sz w:val="18"/>
                          <w:szCs w:val="18"/>
                          <w:u w:val="single"/>
                        </w:rPr>
                        <w:t>s</w:t>
                      </w:r>
                      <w:r w:rsidRPr="00D724C2">
                        <w:rPr>
                          <w:rFonts w:ascii="Arial" w:hAnsi="Arial" w:cs="Arial"/>
                          <w:sz w:val="18"/>
                          <w:szCs w:val="18"/>
                        </w:rPr>
                        <w:t>,</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 de politiques économiques pas toujours coopératives,</w:t>
                      </w:r>
                    </w:p>
                    <w:p w:rsidR="00FD6EA5" w:rsidRPr="00D724C2" w:rsidRDefault="00FD6EA5" w:rsidP="00FD6EA5">
                      <w:pPr>
                        <w:spacing w:after="0" w:line="240" w:lineRule="auto"/>
                        <w:jc w:val="both"/>
                        <w:rPr>
                          <w:rFonts w:ascii="Arial" w:hAnsi="Arial" w:cs="Arial"/>
                          <w:sz w:val="18"/>
                          <w:szCs w:val="18"/>
                        </w:rPr>
                      </w:pPr>
                      <w:r w:rsidRPr="00D724C2">
                        <w:rPr>
                          <w:rFonts w:ascii="Arial" w:hAnsi="Arial" w:cs="Arial"/>
                          <w:sz w:val="18"/>
                          <w:szCs w:val="18"/>
                        </w:rPr>
                        <w:t>- faiblesse relative des budgets européens et des moyens de l’action structurelle.</w:t>
                      </w:r>
                    </w:p>
                  </w:txbxContent>
                </v:textbox>
              </v:shape>
            </w:pict>
          </mc:Fallback>
        </mc:AlternateContent>
      </w:r>
      <w:r w:rsidRPr="00FD6EA5">
        <w:rPr>
          <w:rFonts w:ascii="Arial" w:eastAsia="Times New Roman" w:hAnsi="Arial" w:cs="Arial"/>
          <w:b/>
          <w:noProof/>
          <w:color w:val="000000"/>
          <w:sz w:val="28"/>
          <w:szCs w:val="28"/>
          <w:lang w:eastAsia="fr-FR"/>
        </w:rPr>
        <mc:AlternateContent>
          <mc:Choice Requires="wps">
            <w:drawing>
              <wp:anchor distT="36576" distB="36576" distL="36576" distR="36576" simplePos="0" relativeHeight="251652096" behindDoc="0" locked="0" layoutInCell="1" allowOverlap="1" wp14:anchorId="7AA776DB" wp14:editId="0587A92C">
                <wp:simplePos x="0" y="0"/>
                <wp:positionH relativeFrom="column">
                  <wp:posOffset>-218413</wp:posOffset>
                </wp:positionH>
                <wp:positionV relativeFrom="paragraph">
                  <wp:posOffset>80010</wp:posOffset>
                </wp:positionV>
                <wp:extent cx="3863662" cy="1396365"/>
                <wp:effectExtent l="0" t="0" r="22860" b="13335"/>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662" cy="139636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D6EA5" w:rsidRPr="00D724C2" w:rsidRDefault="00FD6EA5" w:rsidP="00D724C2">
                            <w:pPr>
                              <w:pStyle w:val="Titre1"/>
                              <w:spacing w:before="0" w:line="240" w:lineRule="auto"/>
                              <w:jc w:val="center"/>
                              <w:rPr>
                                <w:rFonts w:ascii="Arial" w:hAnsi="Arial" w:cs="Arial"/>
                                <w:b/>
                                <w:color w:val="auto"/>
                                <w:sz w:val="20"/>
                                <w:szCs w:val="20"/>
                              </w:rPr>
                            </w:pPr>
                            <w:r w:rsidRPr="00D724C2">
                              <w:rPr>
                                <w:rFonts w:ascii="Arial" w:hAnsi="Arial" w:cs="Arial"/>
                                <w:b/>
                                <w:color w:val="auto"/>
                                <w:sz w:val="20"/>
                                <w:szCs w:val="20"/>
                              </w:rPr>
                              <w:t>Les grands axes et problématiques</w:t>
                            </w:r>
                          </w:p>
                          <w:p w:rsidR="00FD6EA5" w:rsidRPr="00D724C2" w:rsidRDefault="00FD6EA5" w:rsidP="00D724C2">
                            <w:pPr>
                              <w:spacing w:before="60" w:after="0" w:line="240" w:lineRule="auto"/>
                              <w:jc w:val="both"/>
                              <w:rPr>
                                <w:rFonts w:ascii="Arial" w:hAnsi="Arial" w:cs="Arial"/>
                                <w:sz w:val="18"/>
                                <w:szCs w:val="18"/>
                              </w:rPr>
                            </w:pPr>
                            <w:r w:rsidRPr="00D724C2">
                              <w:rPr>
                                <w:rFonts w:ascii="Arial" w:hAnsi="Arial" w:cs="Arial"/>
                                <w:b/>
                                <w:i/>
                                <w:sz w:val="18"/>
                                <w:szCs w:val="18"/>
                              </w:rPr>
                              <w:t>Axe 1 :</w:t>
                            </w:r>
                            <w:r w:rsidRPr="00D724C2">
                              <w:rPr>
                                <w:rFonts w:ascii="Arial" w:hAnsi="Arial" w:cs="Arial"/>
                                <w:sz w:val="18"/>
                                <w:szCs w:val="18"/>
                              </w:rPr>
                              <w:t xml:space="preserve"> En quoi la construction d’un vaste marché intérieur et d’une monnaie unique conduit-elle à l’expérience actuellement la plus aboutie d’intégration économique et monétaire ? </w:t>
                            </w:r>
                          </w:p>
                          <w:p w:rsidR="00FD6EA5" w:rsidRPr="00D724C2" w:rsidRDefault="00FD6EA5" w:rsidP="00D724C2">
                            <w:pPr>
                              <w:spacing w:before="60" w:after="0" w:line="240" w:lineRule="auto"/>
                              <w:jc w:val="both"/>
                              <w:rPr>
                                <w:rFonts w:ascii="Arial" w:hAnsi="Arial" w:cs="Arial"/>
                                <w:sz w:val="18"/>
                                <w:szCs w:val="18"/>
                              </w:rPr>
                            </w:pPr>
                            <w:r w:rsidRPr="00D724C2">
                              <w:rPr>
                                <w:rFonts w:ascii="Arial" w:hAnsi="Arial" w:cs="Arial"/>
                                <w:b/>
                                <w:i/>
                                <w:sz w:val="18"/>
                                <w:szCs w:val="18"/>
                              </w:rPr>
                              <w:t>Axe 2 :</w:t>
                            </w:r>
                            <w:r w:rsidRPr="00D724C2">
                              <w:rPr>
                                <w:rFonts w:ascii="Arial" w:hAnsi="Arial" w:cs="Arial"/>
                                <w:sz w:val="18"/>
                                <w:szCs w:val="18"/>
                              </w:rPr>
                              <w:t xml:space="preserve"> En quoi l’Union monétaire a-t-elle une importance dans le contexte monétaire et financier international et renforce-t-elle les interdépendances des politiques macroéconomiques des États membres ? </w:t>
                            </w:r>
                          </w:p>
                          <w:p w:rsidR="00FD6EA5" w:rsidRPr="00D724C2" w:rsidRDefault="00FD6EA5" w:rsidP="00D724C2">
                            <w:pPr>
                              <w:spacing w:before="60" w:after="0" w:line="240" w:lineRule="auto"/>
                              <w:jc w:val="both"/>
                              <w:rPr>
                                <w:rFonts w:ascii="Arial" w:hAnsi="Arial" w:cs="Arial"/>
                                <w:sz w:val="18"/>
                                <w:szCs w:val="18"/>
                              </w:rPr>
                            </w:pPr>
                            <w:r w:rsidRPr="00D724C2">
                              <w:rPr>
                                <w:rFonts w:ascii="Arial" w:hAnsi="Arial" w:cs="Arial"/>
                                <w:b/>
                                <w:i/>
                                <w:sz w:val="18"/>
                                <w:szCs w:val="18"/>
                              </w:rPr>
                              <w:t>Axe 3 :</w:t>
                            </w:r>
                            <w:r w:rsidRPr="00D724C2">
                              <w:rPr>
                                <w:rFonts w:ascii="Arial" w:hAnsi="Arial" w:cs="Arial"/>
                                <w:sz w:val="18"/>
                                <w:szCs w:val="18"/>
                              </w:rPr>
                              <w:t xml:space="preserve"> Comment expliquer les difficultés de la coordination des politiques économiques dans l’Union européenne ? </w:t>
                            </w:r>
                          </w:p>
                        </w:txbxContent>
                      </wps:txbx>
                      <wps:bodyPr rot="0" vert="horz" wrap="squar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A776DB" id="Text Box 3" o:spid="_x0000_s1033" type="#_x0000_t202" style="position:absolute;left:0;text-align:left;margin-left:-17.2pt;margin-top:6.3pt;width:304.25pt;height:109.9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" filled="f" strokeweight="1pt">
                <v:shadow color="#ccc"/>
                <v:textbox style="mso-fit-shape-to-text:t" inset="2.88pt,2.88pt,2.88pt,2.88pt">
                  <w:txbxContent>
                    <w:p w:rsidR="00FD6EA5" w:rsidRPr="00D724C2" w:rsidRDefault="00FD6EA5" w:rsidP="00D724C2">
                      <w:pPr>
                        <w:pStyle w:val="Titre1"/>
                        <w:spacing w:before="0" w:line="240" w:lineRule="auto"/>
                        <w:jc w:val="center"/>
                        <w:rPr>
                          <w:rFonts w:ascii="Arial" w:hAnsi="Arial" w:cs="Arial"/>
                          <w:b/>
                          <w:color w:val="auto"/>
                          <w:sz w:val="20"/>
                          <w:szCs w:val="20"/>
                        </w:rPr>
                      </w:pPr>
                      <w:r w:rsidRPr="00D724C2">
                        <w:rPr>
                          <w:rFonts w:ascii="Arial" w:hAnsi="Arial" w:cs="Arial"/>
                          <w:b/>
                          <w:color w:val="auto"/>
                          <w:sz w:val="20"/>
                          <w:szCs w:val="20"/>
                        </w:rPr>
                        <w:t>Les grands axes et problématiques</w:t>
                      </w:r>
                    </w:p>
                    <w:p w:rsidR="00FD6EA5" w:rsidRPr="00D724C2" w:rsidRDefault="00FD6EA5" w:rsidP="00D724C2">
                      <w:pPr>
                        <w:spacing w:before="60" w:after="0" w:line="240" w:lineRule="auto"/>
                        <w:jc w:val="both"/>
                        <w:rPr>
                          <w:rFonts w:ascii="Arial" w:hAnsi="Arial" w:cs="Arial"/>
                          <w:sz w:val="18"/>
                          <w:szCs w:val="18"/>
                        </w:rPr>
                      </w:pPr>
                      <w:r w:rsidRPr="00D724C2">
                        <w:rPr>
                          <w:rFonts w:ascii="Arial" w:hAnsi="Arial" w:cs="Arial"/>
                          <w:b/>
                          <w:i/>
                          <w:sz w:val="18"/>
                          <w:szCs w:val="18"/>
                        </w:rPr>
                        <w:t>Axe 1 :</w:t>
                      </w:r>
                      <w:r w:rsidRPr="00D724C2">
                        <w:rPr>
                          <w:rFonts w:ascii="Arial" w:hAnsi="Arial" w:cs="Arial"/>
                          <w:sz w:val="18"/>
                          <w:szCs w:val="18"/>
                        </w:rPr>
                        <w:t xml:space="preserve"> En quoi la construction d’un vaste marché intérieur et d’une monnaie unique conduit-elle à l’expérience actuellement la plus aboutie d’intégration économique et monétaire ? </w:t>
                      </w:r>
                    </w:p>
                    <w:p w:rsidR="00FD6EA5" w:rsidRPr="00D724C2" w:rsidRDefault="00FD6EA5" w:rsidP="00D724C2">
                      <w:pPr>
                        <w:spacing w:before="60" w:after="0" w:line="240" w:lineRule="auto"/>
                        <w:jc w:val="both"/>
                        <w:rPr>
                          <w:rFonts w:ascii="Arial" w:hAnsi="Arial" w:cs="Arial"/>
                          <w:sz w:val="18"/>
                          <w:szCs w:val="18"/>
                        </w:rPr>
                      </w:pPr>
                      <w:r w:rsidRPr="00D724C2">
                        <w:rPr>
                          <w:rFonts w:ascii="Arial" w:hAnsi="Arial" w:cs="Arial"/>
                          <w:b/>
                          <w:i/>
                          <w:sz w:val="18"/>
                          <w:szCs w:val="18"/>
                        </w:rPr>
                        <w:t>Axe 2 :</w:t>
                      </w:r>
                      <w:r w:rsidRPr="00D724C2">
                        <w:rPr>
                          <w:rFonts w:ascii="Arial" w:hAnsi="Arial" w:cs="Arial"/>
                          <w:sz w:val="18"/>
                          <w:szCs w:val="18"/>
                        </w:rPr>
                        <w:t xml:space="preserve"> En quoi l’Union monétaire a-t-elle une importance dans le contexte monétaire et financier international et renforce-t-elle les interdépendances des politiques macroéconomiques des États membres ? </w:t>
                      </w:r>
                    </w:p>
                    <w:p w:rsidR="00FD6EA5" w:rsidRPr="00D724C2" w:rsidRDefault="00FD6EA5" w:rsidP="00D724C2">
                      <w:pPr>
                        <w:spacing w:before="60" w:after="0" w:line="240" w:lineRule="auto"/>
                        <w:jc w:val="both"/>
                        <w:rPr>
                          <w:rFonts w:ascii="Arial" w:hAnsi="Arial" w:cs="Arial"/>
                          <w:sz w:val="18"/>
                          <w:szCs w:val="18"/>
                        </w:rPr>
                      </w:pPr>
                      <w:r w:rsidRPr="00D724C2">
                        <w:rPr>
                          <w:rFonts w:ascii="Arial" w:hAnsi="Arial" w:cs="Arial"/>
                          <w:b/>
                          <w:i/>
                          <w:sz w:val="18"/>
                          <w:szCs w:val="18"/>
                        </w:rPr>
                        <w:t>Axe 3 :</w:t>
                      </w:r>
                      <w:r w:rsidRPr="00D724C2">
                        <w:rPr>
                          <w:rFonts w:ascii="Arial" w:hAnsi="Arial" w:cs="Arial"/>
                          <w:sz w:val="18"/>
                          <w:szCs w:val="18"/>
                        </w:rPr>
                        <w:t xml:space="preserve"> Comment expliquer les difficultés de la coordination des politiques économiques dans l’Union européenne ? </w:t>
                      </w:r>
                    </w:p>
                  </w:txbxContent>
                </v:textbox>
              </v:shape>
            </w:pict>
          </mc:Fallback>
        </mc:AlternateContent>
      </w:r>
    </w:p>
    <w:p w:rsidR="00FD6EA5" w:rsidRDefault="00FD6EA5" w:rsidP="00697A97">
      <w:pPr>
        <w:pBdr>
          <w:top w:val="single" w:sz="4" w:space="1" w:color="auto"/>
          <w:left w:val="single" w:sz="4" w:space="4" w:color="auto"/>
          <w:bottom w:val="single" w:sz="4" w:space="1" w:color="auto"/>
          <w:right w:val="single" w:sz="4" w:space="4" w:color="auto"/>
        </w:pBdr>
        <w:ind w:left="-567" w:right="-284"/>
        <w:rPr>
          <w:rFonts w:ascii="Arial" w:hAnsi="Arial" w:cs="Arial"/>
          <w:sz w:val="20"/>
          <w:szCs w:val="20"/>
        </w:rPr>
        <w:sectPr w:rsidR="00FD6EA5" w:rsidSect="00FD6EA5">
          <w:pgSz w:w="16838" w:h="11906" w:orient="landscape" w:code="9"/>
          <w:pgMar w:top="992" w:right="851" w:bottom="1418" w:left="851" w:header="709" w:footer="147" w:gutter="0"/>
          <w:cols w:space="708"/>
          <w:docGrid w:linePitch="360"/>
        </w:sectPr>
      </w:pPr>
    </w:p>
    <w:p w:rsidR="008642DD" w:rsidRPr="00697A97" w:rsidRDefault="0007141A" w:rsidP="00697A97">
      <w:pPr>
        <w:pBdr>
          <w:top w:val="single" w:sz="4" w:space="1" w:color="auto"/>
          <w:left w:val="single" w:sz="4" w:space="4" w:color="auto"/>
          <w:bottom w:val="single" w:sz="4" w:space="1" w:color="auto"/>
          <w:right w:val="single" w:sz="4" w:space="4" w:color="auto"/>
        </w:pBdr>
        <w:ind w:left="-567" w:right="-284"/>
        <w:rPr>
          <w:rFonts w:ascii="Arial" w:hAnsi="Arial" w:cs="Arial"/>
          <w:sz w:val="20"/>
          <w:szCs w:val="20"/>
        </w:rPr>
      </w:pPr>
      <w:r>
        <w:rPr>
          <w:rFonts w:ascii="Arial" w:hAnsi="Arial" w:cs="Arial"/>
          <w:b/>
          <w:sz w:val="32"/>
          <w:szCs w:val="32"/>
        </w:rPr>
        <w:lastRenderedPageBreak/>
        <w:t>4</w:t>
      </w:r>
      <w:r w:rsidR="008642DD" w:rsidRPr="00016BE5">
        <w:rPr>
          <w:rFonts w:ascii="Arial" w:hAnsi="Arial" w:cs="Arial"/>
          <w:b/>
          <w:sz w:val="32"/>
          <w:szCs w:val="32"/>
        </w:rPr>
        <w:t>. Les sujets de bac, extrait du BO spécial n°7 du 6 octobre 2011</w:t>
      </w:r>
    </w:p>
    <w:p w:rsidR="00016BE5" w:rsidRDefault="00016BE5" w:rsidP="00016BE5">
      <w:pPr>
        <w:spacing w:line="240" w:lineRule="auto"/>
        <w:rPr>
          <w:rFonts w:ascii="Arial" w:hAnsi="Arial" w:cs="Arial"/>
          <w:b/>
          <w:bCs/>
          <w:sz w:val="20"/>
          <w:szCs w:val="20"/>
          <w:shd w:val="clear" w:color="auto" w:fill="FFFFFF"/>
        </w:rPr>
      </w:pPr>
    </w:p>
    <w:p w:rsidR="008642DD" w:rsidRPr="00697A97" w:rsidRDefault="00016BE5" w:rsidP="00697A97">
      <w:pPr>
        <w:spacing w:line="240" w:lineRule="auto"/>
        <w:ind w:left="-284"/>
        <w:rPr>
          <w:rFonts w:ascii="Arial" w:hAnsi="Arial" w:cs="Arial"/>
          <w:b/>
          <w:sz w:val="18"/>
          <w:szCs w:val="20"/>
          <w:u w:val="single"/>
        </w:rPr>
      </w:pPr>
      <w:r w:rsidRPr="00697A97">
        <w:rPr>
          <w:rFonts w:ascii="Arial" w:hAnsi="Arial" w:cs="Arial"/>
          <w:b/>
          <w:bCs/>
          <w:sz w:val="18"/>
          <w:szCs w:val="20"/>
          <w:u w:val="single"/>
          <w:shd w:val="clear" w:color="auto" w:fill="FFFFFF"/>
        </w:rPr>
        <w:t>3</w:t>
      </w:r>
      <w:r w:rsidR="00E375B2" w:rsidRPr="00697A97">
        <w:rPr>
          <w:rFonts w:ascii="Arial" w:hAnsi="Arial" w:cs="Arial"/>
          <w:b/>
          <w:bCs/>
          <w:sz w:val="18"/>
          <w:szCs w:val="20"/>
          <w:u w:val="single"/>
          <w:shd w:val="clear" w:color="auto" w:fill="FFFFFF"/>
        </w:rPr>
        <w:t xml:space="preserve">.1 </w:t>
      </w:r>
      <w:r w:rsidR="008642DD" w:rsidRPr="00697A97">
        <w:rPr>
          <w:rFonts w:ascii="Arial" w:hAnsi="Arial" w:cs="Arial"/>
          <w:b/>
          <w:bCs/>
          <w:sz w:val="18"/>
          <w:szCs w:val="20"/>
          <w:u w:val="single"/>
          <w:shd w:val="clear" w:color="auto" w:fill="FFFFFF"/>
        </w:rPr>
        <w:t>Épreuve de sciences économiques et sociales (enseignement obligatoire)</w:t>
      </w:r>
    </w:p>
    <w:p w:rsidR="00BF6032" w:rsidRPr="00697A97" w:rsidRDefault="008642DD" w:rsidP="00697A97">
      <w:pPr>
        <w:spacing w:line="240" w:lineRule="auto"/>
        <w:ind w:left="-284"/>
        <w:rPr>
          <w:rFonts w:ascii="Arial" w:hAnsi="Arial" w:cs="Arial"/>
          <w:sz w:val="18"/>
          <w:szCs w:val="20"/>
          <w:shd w:val="clear" w:color="auto" w:fill="FFFFFF"/>
        </w:rPr>
      </w:pPr>
      <w:r w:rsidRPr="00697A97">
        <w:rPr>
          <w:rStyle w:val="stitre2"/>
          <w:rFonts w:ascii="Arial" w:hAnsi="Arial" w:cs="Arial"/>
          <w:sz w:val="18"/>
          <w:szCs w:val="20"/>
          <w:shd w:val="clear" w:color="auto" w:fill="FFFFFF"/>
        </w:rPr>
        <w:t>Dissertation s'appuyant sur un dossier documentaire</w:t>
      </w:r>
      <w:r w:rsidRPr="00697A97">
        <w:rPr>
          <w:rFonts w:ascii="Arial" w:hAnsi="Arial" w:cs="Arial"/>
          <w:sz w:val="18"/>
          <w:szCs w:val="20"/>
          <w:shd w:val="clear" w:color="auto" w:fill="FFFFFF"/>
        </w:rPr>
        <w:t>.</w:t>
      </w:r>
      <w:r w:rsidRPr="00697A97">
        <w:rPr>
          <w:rFonts w:ascii="Arial" w:hAnsi="Arial" w:cs="Arial"/>
          <w:sz w:val="18"/>
          <w:szCs w:val="20"/>
        </w:rPr>
        <w:br/>
      </w:r>
      <w:r w:rsidRPr="00697A97">
        <w:rPr>
          <w:rStyle w:val="stitre3"/>
          <w:rFonts w:ascii="Arial" w:hAnsi="Arial" w:cs="Arial"/>
          <w:b/>
          <w:bCs/>
          <w:sz w:val="18"/>
          <w:szCs w:val="20"/>
          <w:shd w:val="clear" w:color="auto" w:fill="FFFFFF"/>
        </w:rPr>
        <w:t>Structure de l'épreuve</w:t>
      </w:r>
      <w:r w:rsidRPr="00697A97">
        <w:rPr>
          <w:rFonts w:ascii="Arial" w:hAnsi="Arial" w:cs="Arial"/>
          <w:b/>
          <w:bCs/>
          <w:sz w:val="18"/>
          <w:szCs w:val="20"/>
          <w:shd w:val="clear" w:color="auto" w:fill="FFFFFF"/>
        </w:rPr>
        <w:br/>
      </w:r>
      <w:r w:rsidRPr="00697A97">
        <w:rPr>
          <w:rFonts w:ascii="Arial" w:hAnsi="Arial" w:cs="Arial"/>
          <w:sz w:val="18"/>
          <w:szCs w:val="20"/>
          <w:shd w:val="clear" w:color="auto" w:fill="FFFFFF"/>
        </w:rPr>
        <w:t>Le libellé du sujet de la dissertation invite le candidat à poser et à traiter, d'une façon organisée et réfléchie, un problème exigeant un effort d'analyse économique et/ou sociologique.</w:t>
      </w:r>
      <w:r w:rsidRPr="00697A97">
        <w:rPr>
          <w:rFonts w:ascii="Arial" w:hAnsi="Arial" w:cs="Arial"/>
          <w:sz w:val="18"/>
          <w:szCs w:val="20"/>
        </w:rPr>
        <w:br/>
      </w:r>
      <w:r w:rsidRPr="00697A97">
        <w:rPr>
          <w:rFonts w:ascii="Arial" w:hAnsi="Arial" w:cs="Arial"/>
          <w:sz w:val="18"/>
          <w:szCs w:val="20"/>
          <w:shd w:val="clear" w:color="auto" w:fill="FFFFFF"/>
        </w:rPr>
        <w:t>Pour aider le candidat à asseoir son travail sur des informations précises, un dossier est mis à sa disposition. Ce dossier ne doit ni borner son horizon (en le détournant du recours à ses propres connaissances), ni lui servir de prétexte à un commentaire systématique et détaillé. Il comporte 3 ou 4 documents de nature strictement factuelle. Il s'agit principalement de données statistiques (graphiques, tableaux) ; un document-texte peut figurer dans le dossier documentaire à condition qu'il soit lui aussi strictement factuel (chronologie, extrait d'entretien, monographie, récit de vie, compte rendu d'enquêtes, etc.). Chaque document statistique ne devra pas dépasser 120 données chiffrées et le texte éventuel comporter plus de 2 500 signes.</w:t>
      </w:r>
    </w:p>
    <w:p w:rsidR="001B6294" w:rsidRPr="00697A97" w:rsidRDefault="00BF6032" w:rsidP="00697A97">
      <w:pPr>
        <w:spacing w:line="240" w:lineRule="auto"/>
        <w:ind w:left="-284"/>
        <w:rPr>
          <w:rStyle w:val="stitre2"/>
          <w:rFonts w:ascii="Arial" w:hAnsi="Arial" w:cs="Arial"/>
          <w:sz w:val="18"/>
          <w:szCs w:val="20"/>
          <w:shd w:val="clear" w:color="auto" w:fill="FFFFFF"/>
        </w:rPr>
      </w:pPr>
      <w:r w:rsidRPr="00697A97">
        <w:rPr>
          <w:rFonts w:ascii="Arial" w:hAnsi="Arial" w:cs="Arial"/>
          <w:sz w:val="18"/>
          <w:szCs w:val="20"/>
          <w:shd w:val="clear" w:color="auto" w:fill="FFFFFF"/>
        </w:rPr>
        <w:t>Épreuve composée</w:t>
      </w:r>
      <w:r w:rsidRPr="00697A97">
        <w:rPr>
          <w:rFonts w:ascii="Arial" w:hAnsi="Arial" w:cs="Arial"/>
          <w:sz w:val="18"/>
          <w:szCs w:val="20"/>
          <w:shd w:val="clear" w:color="auto" w:fill="FFFFFF"/>
        </w:rPr>
        <w:br/>
      </w:r>
      <w:r w:rsidRPr="00697A97">
        <w:rPr>
          <w:rFonts w:ascii="Arial" w:hAnsi="Arial" w:cs="Arial"/>
          <w:b/>
          <w:bCs/>
          <w:sz w:val="18"/>
          <w:szCs w:val="20"/>
          <w:shd w:val="clear" w:color="auto" w:fill="FFFFFF"/>
        </w:rPr>
        <w:t>Structure de l'épreuve</w:t>
      </w:r>
      <w:r w:rsidRPr="00697A97">
        <w:rPr>
          <w:rFonts w:ascii="Arial" w:hAnsi="Arial" w:cs="Arial"/>
          <w:b/>
          <w:bCs/>
          <w:sz w:val="18"/>
          <w:szCs w:val="20"/>
          <w:shd w:val="clear" w:color="auto" w:fill="FFFFFF"/>
        </w:rPr>
        <w:br/>
      </w:r>
      <w:r w:rsidRPr="00697A97">
        <w:rPr>
          <w:rFonts w:ascii="Arial" w:hAnsi="Arial" w:cs="Arial"/>
          <w:sz w:val="18"/>
          <w:szCs w:val="20"/>
          <w:shd w:val="clear" w:color="auto" w:fill="FFFFFF"/>
        </w:rPr>
        <w:t>Cette épreuve est constituée de trois parties :</w:t>
      </w:r>
      <w:r w:rsidRPr="00697A97">
        <w:rPr>
          <w:rFonts w:ascii="Arial" w:hAnsi="Arial" w:cs="Arial"/>
          <w:sz w:val="18"/>
          <w:szCs w:val="20"/>
          <w:shd w:val="clear" w:color="auto" w:fill="FFFFFF"/>
        </w:rPr>
        <w:br/>
      </w:r>
      <w:r w:rsidRPr="00697A97">
        <w:rPr>
          <w:rFonts w:ascii="Arial" w:hAnsi="Arial" w:cs="Arial"/>
          <w:b/>
          <w:bCs/>
          <w:sz w:val="18"/>
          <w:szCs w:val="20"/>
          <w:shd w:val="clear" w:color="auto" w:fill="FFFFFF"/>
        </w:rPr>
        <w:t>- Partie 1 - Mobilisation des connaissances (6 points)</w:t>
      </w:r>
      <w:r w:rsidRPr="00697A97">
        <w:rPr>
          <w:rFonts w:ascii="Arial" w:hAnsi="Arial" w:cs="Arial"/>
          <w:b/>
          <w:bCs/>
          <w:sz w:val="18"/>
          <w:szCs w:val="20"/>
          <w:shd w:val="clear" w:color="auto" w:fill="FFFFFF"/>
        </w:rPr>
        <w:br/>
      </w:r>
      <w:r w:rsidRPr="00697A97">
        <w:rPr>
          <w:rFonts w:ascii="Arial" w:hAnsi="Arial" w:cs="Arial"/>
          <w:sz w:val="18"/>
          <w:szCs w:val="20"/>
          <w:shd w:val="clear" w:color="auto" w:fill="FFFFFF"/>
        </w:rPr>
        <w:t>Cette première partie de l'épreuve, sans document, est composée de deux questions, notées chacune sur 3 points, portant sur des champs différents du programme (science économique ; sociologie ; regards croisés).</w:t>
      </w:r>
      <w:r w:rsidRPr="00697A97">
        <w:rPr>
          <w:rFonts w:ascii="Arial" w:hAnsi="Arial" w:cs="Arial"/>
          <w:sz w:val="18"/>
          <w:szCs w:val="20"/>
          <w:shd w:val="clear" w:color="auto" w:fill="FFFFFF"/>
        </w:rPr>
        <w:br/>
      </w:r>
      <w:r w:rsidRPr="00697A97">
        <w:rPr>
          <w:rFonts w:ascii="Arial" w:hAnsi="Arial" w:cs="Arial"/>
          <w:b/>
          <w:bCs/>
          <w:sz w:val="18"/>
          <w:szCs w:val="20"/>
          <w:shd w:val="clear" w:color="auto" w:fill="FFFFFF"/>
        </w:rPr>
        <w:t>- Partie 2 - Étude d'un document (4 points)</w:t>
      </w:r>
      <w:r w:rsidRPr="00697A97">
        <w:rPr>
          <w:rFonts w:ascii="Arial" w:hAnsi="Arial" w:cs="Arial"/>
          <w:b/>
          <w:bCs/>
          <w:sz w:val="18"/>
          <w:szCs w:val="20"/>
          <w:shd w:val="clear" w:color="auto" w:fill="FFFFFF"/>
        </w:rPr>
        <w:br/>
      </w:r>
      <w:r w:rsidRPr="00697A97">
        <w:rPr>
          <w:rFonts w:ascii="Arial" w:hAnsi="Arial" w:cs="Arial"/>
          <w:sz w:val="18"/>
          <w:szCs w:val="20"/>
          <w:shd w:val="clear" w:color="auto" w:fill="FFFFFF"/>
        </w:rPr>
        <w:t>Cette deuxième partie de l'épreuve comporte une question générale et un document de nature strictement factuelle. Il s'agit principalement d'un document statistique (graphique ou tableau) de 120 données chiffrées au maximum ; il peut aussi s'agir d'un document texte, de 2 500 signes au maximum, à condition qu'il soit lui aussi strictement factuel (extrait d'entretien, monographie, récit de vie, compte rendu d'enquêtes, etc.).</w:t>
      </w:r>
      <w:r w:rsidRPr="00697A97">
        <w:rPr>
          <w:rFonts w:ascii="Arial" w:hAnsi="Arial" w:cs="Arial"/>
          <w:sz w:val="18"/>
          <w:szCs w:val="20"/>
          <w:shd w:val="clear" w:color="auto" w:fill="FFFFFF"/>
        </w:rPr>
        <w:br/>
      </w:r>
      <w:r w:rsidRPr="00697A97">
        <w:rPr>
          <w:rFonts w:ascii="Arial" w:hAnsi="Arial" w:cs="Arial"/>
          <w:b/>
          <w:bCs/>
          <w:sz w:val="18"/>
          <w:szCs w:val="20"/>
          <w:shd w:val="clear" w:color="auto" w:fill="FFFFFF"/>
        </w:rPr>
        <w:t>- Partie 3 - Raisonnement s'appuyant sur un dossier documentaire (10 points) </w:t>
      </w:r>
      <w:r w:rsidRPr="00697A97">
        <w:rPr>
          <w:rFonts w:ascii="Arial" w:hAnsi="Arial" w:cs="Arial"/>
          <w:b/>
          <w:bCs/>
          <w:sz w:val="18"/>
          <w:szCs w:val="20"/>
          <w:shd w:val="clear" w:color="auto" w:fill="FFFFFF"/>
        </w:rPr>
        <w:br/>
      </w:r>
      <w:r w:rsidRPr="00697A97">
        <w:rPr>
          <w:rFonts w:ascii="Arial" w:hAnsi="Arial" w:cs="Arial"/>
          <w:sz w:val="18"/>
          <w:szCs w:val="20"/>
          <w:shd w:val="clear" w:color="auto" w:fill="FFFFFF"/>
        </w:rPr>
        <w:t>Le libellé du sujet invite le candidat à développer un raisonnement, à rassembler et mettre en ordre des informations pertinentes issues du dossier documentaire et de ses connaissances personnelles. Le dossier documentaire mis à la disposition du candidat ne doit ni borner son horizon (en le détournant du recours à ses propres connaissances), ni lui servir de prétexte à une paraphrase ou à un commentaire systématique et détaillé. Il comporte 2 ou 3 documents de nature différente (textes, graphiques, tableaux statistiques, schémas, etc.). Chaque texte ne devra pas dépasser 2 500 signes et chaque document statistique comporter plus de 120 données chiffrées.</w:t>
      </w:r>
      <w:r w:rsidRPr="00697A97">
        <w:rPr>
          <w:rFonts w:ascii="Arial" w:hAnsi="Arial" w:cs="Arial"/>
          <w:sz w:val="18"/>
          <w:szCs w:val="20"/>
          <w:shd w:val="clear" w:color="auto" w:fill="FFFFFF"/>
        </w:rPr>
        <w:br/>
      </w:r>
      <w:r w:rsidRPr="00697A97">
        <w:rPr>
          <w:rFonts w:ascii="Arial" w:hAnsi="Arial" w:cs="Arial"/>
          <w:sz w:val="18"/>
          <w:szCs w:val="20"/>
          <w:shd w:val="clear" w:color="auto" w:fill="FFFFFF"/>
        </w:rPr>
        <w:br/>
      </w:r>
      <w:r w:rsidR="002A1772" w:rsidRPr="00697A97">
        <w:rPr>
          <w:rFonts w:ascii="Arial" w:hAnsi="Arial" w:cs="Arial"/>
          <w:b/>
          <w:bCs/>
          <w:sz w:val="18"/>
          <w:szCs w:val="20"/>
          <w:u w:val="single"/>
          <w:shd w:val="clear" w:color="auto" w:fill="FFFFFF"/>
        </w:rPr>
        <w:t xml:space="preserve">3.2 </w:t>
      </w:r>
      <w:r w:rsidRPr="00697A97">
        <w:rPr>
          <w:rFonts w:ascii="Arial" w:hAnsi="Arial" w:cs="Arial"/>
          <w:b/>
          <w:bCs/>
          <w:sz w:val="18"/>
          <w:szCs w:val="20"/>
          <w:u w:val="single"/>
          <w:shd w:val="clear" w:color="auto" w:fill="FFFFFF"/>
        </w:rPr>
        <w:t>Épreuve d'économie approfondie et de sciences sociales et politiques (enseignement de spécialité)</w:t>
      </w:r>
      <w:r w:rsidRPr="00697A97">
        <w:rPr>
          <w:rFonts w:ascii="Arial" w:hAnsi="Arial" w:cs="Arial"/>
          <w:b/>
          <w:bCs/>
          <w:sz w:val="18"/>
          <w:szCs w:val="20"/>
          <w:shd w:val="clear" w:color="auto" w:fill="FFFFFF"/>
        </w:rPr>
        <w:br/>
      </w:r>
      <w:r w:rsidRPr="00697A97">
        <w:rPr>
          <w:rFonts w:ascii="Arial" w:hAnsi="Arial" w:cs="Arial"/>
          <w:sz w:val="18"/>
          <w:szCs w:val="20"/>
          <w:shd w:val="clear" w:color="auto" w:fill="FFFFFF"/>
        </w:rPr>
        <w:br/>
        <w:t>Structure de l'épreuve</w:t>
      </w:r>
      <w:r w:rsidRPr="00697A97">
        <w:rPr>
          <w:rFonts w:ascii="Arial" w:hAnsi="Arial" w:cs="Arial"/>
          <w:sz w:val="18"/>
          <w:szCs w:val="20"/>
          <w:shd w:val="clear" w:color="auto" w:fill="FFFFFF"/>
        </w:rPr>
        <w:br/>
        <w:t>Les candidats ayant suivi l'enseignement de spécialité d'économie approfondie ou de sciences sociales et politiques disposent d'une heure supplémentaire pour traiter, au choix, l'un des deux sujets qui leur sont proposés.</w:t>
      </w:r>
      <w:r w:rsidRPr="00697A97">
        <w:rPr>
          <w:rFonts w:ascii="Arial" w:hAnsi="Arial" w:cs="Arial"/>
          <w:sz w:val="18"/>
          <w:szCs w:val="20"/>
          <w:shd w:val="clear" w:color="auto" w:fill="FFFFFF"/>
        </w:rPr>
        <w:br/>
        <w:t>Chaque sujet comporte une question générale, prenant appui sur un ou deux documents, dont l'énoncé invite le candidat à conduire une argumentation, à mettre en ordre des informations pertinentes issues du dossier documentaire et de ses connaissances personnelles. Dans le cas où le sujet ne comporte qu'un seul document, il s'agit obligatoirement d'un texte (2 500 signes au maximum) ; dans le cas où il comporte deux documents, ils sont de nature différente (texte de 1 300 signes au maximum ; document statistique de 65 données chiffrées au maximum).</w:t>
      </w:r>
      <w:r w:rsidRPr="00697A97">
        <w:rPr>
          <w:rFonts w:ascii="Arial" w:hAnsi="Arial" w:cs="Arial"/>
          <w:sz w:val="18"/>
          <w:szCs w:val="20"/>
          <w:shd w:val="clear" w:color="auto" w:fill="FFFFFF"/>
        </w:rPr>
        <w:br/>
      </w:r>
    </w:p>
    <w:p w:rsidR="008642DD" w:rsidRDefault="00016BE5" w:rsidP="00697A97">
      <w:pPr>
        <w:spacing w:line="240" w:lineRule="auto"/>
        <w:ind w:left="-284"/>
        <w:rPr>
          <w:rFonts w:ascii="Arial" w:hAnsi="Arial" w:cs="Arial"/>
          <w:sz w:val="18"/>
          <w:szCs w:val="20"/>
          <w:shd w:val="clear" w:color="auto" w:fill="FFFFFF"/>
        </w:rPr>
      </w:pPr>
      <w:r w:rsidRPr="00697A97">
        <w:rPr>
          <w:rStyle w:val="stitre2"/>
          <w:rFonts w:ascii="Arial" w:hAnsi="Arial" w:cs="Arial"/>
          <w:b/>
          <w:sz w:val="18"/>
          <w:szCs w:val="20"/>
          <w:u w:val="single"/>
          <w:shd w:val="clear" w:color="auto" w:fill="FFFFFF"/>
        </w:rPr>
        <w:t>3</w:t>
      </w:r>
      <w:r w:rsidR="00E375B2" w:rsidRPr="00697A97">
        <w:rPr>
          <w:rStyle w:val="stitre2"/>
          <w:rFonts w:ascii="Arial" w:hAnsi="Arial" w:cs="Arial"/>
          <w:b/>
          <w:sz w:val="18"/>
          <w:szCs w:val="20"/>
          <w:u w:val="single"/>
          <w:shd w:val="clear" w:color="auto" w:fill="FFFFFF"/>
        </w:rPr>
        <w:t xml:space="preserve">.3 </w:t>
      </w:r>
      <w:r w:rsidR="008642DD" w:rsidRPr="00697A97">
        <w:rPr>
          <w:rStyle w:val="stitre2"/>
          <w:rFonts w:ascii="Arial" w:hAnsi="Arial" w:cs="Arial"/>
          <w:b/>
          <w:sz w:val="18"/>
          <w:szCs w:val="20"/>
          <w:u w:val="single"/>
          <w:shd w:val="clear" w:color="auto" w:fill="FFFFFF"/>
        </w:rPr>
        <w:t>Recommandations aux concepteurs de sujets</w:t>
      </w:r>
      <w:r w:rsidR="008642DD" w:rsidRPr="00697A97">
        <w:rPr>
          <w:rFonts w:ascii="Arial" w:hAnsi="Arial" w:cs="Arial"/>
          <w:b/>
          <w:sz w:val="18"/>
          <w:szCs w:val="20"/>
          <w:u w:val="single"/>
          <w:shd w:val="clear" w:color="auto" w:fill="FFFFFF"/>
        </w:rPr>
        <w:br/>
      </w:r>
      <w:r w:rsidR="008642DD" w:rsidRPr="00697A97">
        <w:rPr>
          <w:rStyle w:val="stitre3"/>
          <w:rFonts w:ascii="Arial" w:hAnsi="Arial" w:cs="Arial"/>
          <w:b/>
          <w:bCs/>
          <w:sz w:val="18"/>
          <w:szCs w:val="20"/>
          <w:shd w:val="clear" w:color="auto" w:fill="FFFFFF"/>
        </w:rPr>
        <w:t>Sciences économiques et sociales (épreuve obligatoire)</w:t>
      </w:r>
      <w:r w:rsidR="008642DD" w:rsidRPr="00697A97">
        <w:rPr>
          <w:rFonts w:ascii="Arial" w:hAnsi="Arial" w:cs="Arial"/>
          <w:b/>
          <w:bCs/>
          <w:sz w:val="18"/>
          <w:szCs w:val="20"/>
          <w:shd w:val="clear" w:color="auto" w:fill="FFFFFF"/>
        </w:rPr>
        <w:br/>
      </w:r>
      <w:r w:rsidR="008642DD" w:rsidRPr="00697A97">
        <w:rPr>
          <w:rFonts w:ascii="Arial" w:hAnsi="Arial" w:cs="Arial"/>
          <w:sz w:val="18"/>
          <w:szCs w:val="20"/>
          <w:shd w:val="clear" w:color="auto" w:fill="FFFFFF"/>
        </w:rPr>
        <w:t>Pour les deux types de sujets, les concepteurs devront proposer un barème indicatif de correction qui constituera une première base de travail pour la commission académique d'harmonisation. Ils veilleront à limiter la liste des attentes au strict minimum nécessaire pour traiter le sujet.</w:t>
      </w:r>
      <w:r w:rsidR="008642DD" w:rsidRPr="00697A97">
        <w:rPr>
          <w:rFonts w:ascii="Arial" w:hAnsi="Arial" w:cs="Arial"/>
          <w:sz w:val="18"/>
          <w:szCs w:val="20"/>
        </w:rPr>
        <w:br/>
      </w:r>
      <w:r w:rsidR="008642DD" w:rsidRPr="00697A97">
        <w:rPr>
          <w:rFonts w:ascii="Arial" w:hAnsi="Arial" w:cs="Arial"/>
          <w:b/>
          <w:bCs/>
          <w:sz w:val="18"/>
          <w:szCs w:val="20"/>
          <w:shd w:val="clear" w:color="auto" w:fill="FFFFFF"/>
        </w:rPr>
        <w:t>- Dissertation s'appuyant sur un dossier documentaire</w:t>
      </w:r>
      <w:r w:rsidR="008642DD" w:rsidRPr="00697A97">
        <w:rPr>
          <w:rFonts w:ascii="Arial" w:hAnsi="Arial" w:cs="Arial"/>
          <w:b/>
          <w:bCs/>
          <w:sz w:val="18"/>
          <w:szCs w:val="20"/>
          <w:shd w:val="clear" w:color="auto" w:fill="FFFFFF"/>
        </w:rPr>
        <w:br/>
      </w:r>
      <w:r w:rsidR="008642DD" w:rsidRPr="00697A97">
        <w:rPr>
          <w:rFonts w:ascii="Arial" w:hAnsi="Arial" w:cs="Arial"/>
          <w:sz w:val="18"/>
          <w:szCs w:val="20"/>
          <w:shd w:val="clear" w:color="auto" w:fill="FFFFFF"/>
        </w:rPr>
        <w:t>Le sujet porte sur un contenu figurant explicitement dans les indications complémentaires du programme ; son énoncé utilise les notions des titres des thèmes et des deux premières colonnes du programme ainsi que celles des acquis de première figurant en troisième colonne de ce même programme de terminale. Le libellé du sujet ne consiste pas en une question de cours. Le candidat devant élaborer lui-même sa problématique, il convient d'éviter dans la mesure du possible les énoncés induisant un plan-type.</w:t>
      </w:r>
      <w:r w:rsidR="008642DD" w:rsidRPr="00697A97">
        <w:rPr>
          <w:rFonts w:ascii="Arial" w:hAnsi="Arial" w:cs="Arial"/>
          <w:sz w:val="18"/>
          <w:szCs w:val="20"/>
        </w:rPr>
        <w:br/>
      </w:r>
      <w:r w:rsidR="008642DD" w:rsidRPr="00697A97">
        <w:rPr>
          <w:rFonts w:ascii="Arial" w:hAnsi="Arial" w:cs="Arial"/>
          <w:sz w:val="18"/>
          <w:szCs w:val="20"/>
          <w:shd w:val="clear" w:color="auto" w:fill="FFFFFF"/>
        </w:rPr>
        <w:t>Bien qu'il soit parfois souhaitable de préciser le cadre spatio-temporel, ce libellé doit éviter d'induire une description ou une reconstitution chronologique. Il doit également éviter une réflexion purement prospective et ne pas porter sur la seule actualité qui ne fournit pas le recul suffisant pour guider la réflexion.</w:t>
      </w:r>
      <w:r w:rsidR="008642DD" w:rsidRPr="00697A97">
        <w:rPr>
          <w:rFonts w:ascii="Arial" w:hAnsi="Arial" w:cs="Arial"/>
          <w:sz w:val="18"/>
          <w:szCs w:val="20"/>
        </w:rPr>
        <w:br/>
      </w:r>
      <w:r w:rsidR="008642DD" w:rsidRPr="00697A97">
        <w:rPr>
          <w:rFonts w:ascii="Arial" w:hAnsi="Arial" w:cs="Arial"/>
          <w:sz w:val="18"/>
          <w:szCs w:val="20"/>
          <w:shd w:val="clear" w:color="auto" w:fill="FFFFFF"/>
        </w:rPr>
        <w:t xml:space="preserve">Le dossier doit apporter des informations uniquement factuelles. Il doit permettre au candidat d'utiliser des informations pertinentes, notamment en se montrant capable de combiner et d'exploiter les données qu'il contient (par le calcul, la représentation graphique, la mise en évidence d'une idée-force, la construction d'un schéma, etc.) pour mieux étayer son raisonnement. On peut admettre comme texte un compte rendu statistique, une chronologie, un extrait d'entretien ou de sondage, etc. On privilégiera, dans la mesure du possible, les sources statistiques en provenance des organismes de collecte et de traitement des données reconnus (Insee, </w:t>
      </w:r>
      <w:proofErr w:type="spellStart"/>
      <w:r w:rsidR="008642DD" w:rsidRPr="00697A97">
        <w:rPr>
          <w:rFonts w:ascii="Arial" w:hAnsi="Arial" w:cs="Arial"/>
          <w:sz w:val="18"/>
          <w:szCs w:val="20"/>
          <w:shd w:val="clear" w:color="auto" w:fill="FFFFFF"/>
        </w:rPr>
        <w:t>Ined</w:t>
      </w:r>
      <w:proofErr w:type="spellEnd"/>
      <w:r w:rsidR="008642DD" w:rsidRPr="00697A97">
        <w:rPr>
          <w:rFonts w:ascii="Arial" w:hAnsi="Arial" w:cs="Arial"/>
          <w:sz w:val="18"/>
          <w:szCs w:val="20"/>
          <w:shd w:val="clear" w:color="auto" w:fill="FFFFFF"/>
        </w:rPr>
        <w:t>, OCDE, OMC, FMI, etc.). Les notions des documents ne figurant pas dans les titres des thèmes et dans les deux premières colonnes du programme (ainsi que dans les acquis de première figurant en troisième colonne) devront être explicitées par une note.</w:t>
      </w:r>
      <w:r w:rsidR="008642DD" w:rsidRPr="00697A97">
        <w:rPr>
          <w:rFonts w:ascii="Arial" w:hAnsi="Arial" w:cs="Arial"/>
          <w:sz w:val="18"/>
          <w:szCs w:val="20"/>
        </w:rPr>
        <w:br/>
      </w:r>
      <w:r w:rsidR="008642DD" w:rsidRPr="00697A97">
        <w:rPr>
          <w:rFonts w:ascii="Arial" w:hAnsi="Arial" w:cs="Arial"/>
          <w:b/>
          <w:bCs/>
          <w:sz w:val="18"/>
          <w:szCs w:val="20"/>
          <w:shd w:val="clear" w:color="auto" w:fill="FFFFFF"/>
        </w:rPr>
        <w:lastRenderedPageBreak/>
        <w:t>- Épreuve composée</w:t>
      </w:r>
      <w:r w:rsidR="008642DD" w:rsidRPr="00697A97">
        <w:rPr>
          <w:rFonts w:ascii="Arial" w:hAnsi="Arial" w:cs="Arial"/>
          <w:b/>
          <w:bCs/>
          <w:sz w:val="18"/>
          <w:szCs w:val="20"/>
          <w:shd w:val="clear" w:color="auto" w:fill="FFFFFF"/>
        </w:rPr>
        <w:br/>
      </w:r>
      <w:r w:rsidR="008642DD" w:rsidRPr="00697A97">
        <w:rPr>
          <w:rFonts w:ascii="Arial" w:hAnsi="Arial" w:cs="Arial"/>
          <w:sz w:val="18"/>
          <w:szCs w:val="20"/>
          <w:shd w:val="clear" w:color="auto" w:fill="FFFFFF"/>
        </w:rPr>
        <w:t>Les deux questions de la première partie sont choisies de façon à induire des réponses précises et claires mobilisant les notions et les mécanismes de base du programme.</w:t>
      </w:r>
      <w:r w:rsidR="008642DD" w:rsidRPr="00697A97">
        <w:rPr>
          <w:rFonts w:ascii="Arial" w:hAnsi="Arial" w:cs="Arial"/>
          <w:sz w:val="18"/>
          <w:szCs w:val="20"/>
        </w:rPr>
        <w:br/>
      </w:r>
      <w:r w:rsidR="008642DD" w:rsidRPr="00697A97">
        <w:rPr>
          <w:rFonts w:ascii="Arial" w:hAnsi="Arial" w:cs="Arial"/>
          <w:sz w:val="18"/>
          <w:szCs w:val="20"/>
          <w:shd w:val="clear" w:color="auto" w:fill="FFFFFF"/>
        </w:rPr>
        <w:t>La question de la deuxième partie doit amener le candidat à commenter et analyser le document de façon méthodique afin de le présenter, de mettre en évidence les informations qu'il apporte et ses éventuelles limites.</w:t>
      </w:r>
      <w:r w:rsidR="008642DD" w:rsidRPr="00697A97">
        <w:rPr>
          <w:rFonts w:ascii="Arial" w:hAnsi="Arial" w:cs="Arial"/>
          <w:sz w:val="18"/>
          <w:szCs w:val="20"/>
        </w:rPr>
        <w:br/>
      </w:r>
      <w:r w:rsidR="008642DD" w:rsidRPr="00697A97">
        <w:rPr>
          <w:rFonts w:ascii="Arial" w:hAnsi="Arial" w:cs="Arial"/>
          <w:sz w:val="18"/>
          <w:szCs w:val="20"/>
          <w:shd w:val="clear" w:color="auto" w:fill="FFFFFF"/>
        </w:rPr>
        <w:t>Le sujet de la troisième partie porte sur un contenu figurant explicitement dans les indications complémentaires du programme et son énoncé utilise les notions des titres des thèmes et des deux premières colonnes du programme, ainsi que celles des acquis de première figurant en troisième colonne de ce même programme de terminale. Le libellé du sujet ne suggère ni plan-type ni réponse sous forme de débat ou d'opposition.</w:t>
      </w:r>
      <w:r w:rsidR="008642DD" w:rsidRPr="00697A97">
        <w:rPr>
          <w:rFonts w:ascii="Arial" w:hAnsi="Arial" w:cs="Arial"/>
          <w:sz w:val="18"/>
          <w:szCs w:val="20"/>
        </w:rPr>
        <w:br/>
      </w:r>
      <w:r w:rsidR="008642DD" w:rsidRPr="00697A97">
        <w:rPr>
          <w:rFonts w:ascii="Arial" w:hAnsi="Arial" w:cs="Arial"/>
          <w:sz w:val="18"/>
          <w:szCs w:val="20"/>
          <w:shd w:val="clear" w:color="auto" w:fill="FFFFFF"/>
        </w:rPr>
        <w:t xml:space="preserve">Le dossier doit fournir au candidat des informations, factuelles ou non, pertinentes pour étayer son raisonnement. Comme dans le dossier accompagnant la dissertation, on privilégiera, dans la mesure du possible, les sources statistiques en provenance des organismes de collecte et de traitement des données reconnus (Insee, </w:t>
      </w:r>
      <w:proofErr w:type="spellStart"/>
      <w:r w:rsidR="008642DD" w:rsidRPr="00697A97">
        <w:rPr>
          <w:rFonts w:ascii="Arial" w:hAnsi="Arial" w:cs="Arial"/>
          <w:sz w:val="18"/>
          <w:szCs w:val="20"/>
          <w:shd w:val="clear" w:color="auto" w:fill="FFFFFF"/>
        </w:rPr>
        <w:t>Ined</w:t>
      </w:r>
      <w:proofErr w:type="spellEnd"/>
      <w:r w:rsidR="008642DD" w:rsidRPr="00697A97">
        <w:rPr>
          <w:rFonts w:ascii="Arial" w:hAnsi="Arial" w:cs="Arial"/>
          <w:sz w:val="18"/>
          <w:szCs w:val="20"/>
          <w:shd w:val="clear" w:color="auto" w:fill="FFFFFF"/>
        </w:rPr>
        <w:t>, OCDE, OMC, FMI, etc.). Les notions des documents ne figurant pas dans les titres des thèmes et dans les deux premières colonnes du programme (ainsi que dans les acquis de première figurant en troisième colonne) devront être explicitées par une note.</w:t>
      </w:r>
      <w:r w:rsidR="008642DD" w:rsidRPr="00697A97">
        <w:rPr>
          <w:rFonts w:ascii="Arial" w:hAnsi="Arial" w:cs="Arial"/>
          <w:sz w:val="18"/>
          <w:szCs w:val="20"/>
        </w:rPr>
        <w:br/>
      </w:r>
      <w:r w:rsidR="008642DD" w:rsidRPr="00697A97">
        <w:rPr>
          <w:rStyle w:val="lev"/>
          <w:rFonts w:ascii="Arial" w:hAnsi="Arial" w:cs="Arial"/>
          <w:sz w:val="18"/>
          <w:szCs w:val="20"/>
          <w:shd w:val="clear" w:color="auto" w:fill="FFFFFF"/>
        </w:rPr>
        <w:t>Économie approfondie et sciences sociales et politiques (enseignement de spécialité)</w:t>
      </w:r>
      <w:r w:rsidR="008642DD" w:rsidRPr="00697A97">
        <w:rPr>
          <w:rFonts w:ascii="Arial" w:hAnsi="Arial" w:cs="Arial"/>
          <w:b/>
          <w:bCs/>
          <w:sz w:val="18"/>
          <w:szCs w:val="20"/>
          <w:shd w:val="clear" w:color="auto" w:fill="FFFFFF"/>
        </w:rPr>
        <w:br/>
      </w:r>
      <w:r w:rsidR="008642DD" w:rsidRPr="00697A97">
        <w:rPr>
          <w:rFonts w:ascii="Arial" w:hAnsi="Arial" w:cs="Arial"/>
          <w:sz w:val="18"/>
          <w:szCs w:val="20"/>
          <w:shd w:val="clear" w:color="auto" w:fill="FFFFFF"/>
        </w:rPr>
        <w:t>La question du sujet porte sur un contenu figurant explicitement dans les indications complémentaires du programme et son énoncé utilise les notions des titres des thèmes et des deux premières colonnes du programme (de façon à proposer des sujets assez larges, on privilégiera dans la mesure du possible les énoncés n'utilisant que les notions des titres des thèmes et celles de la première colonne du programme).</w:t>
      </w:r>
      <w:r w:rsidR="008642DD" w:rsidRPr="00697A97">
        <w:rPr>
          <w:rFonts w:ascii="Arial" w:hAnsi="Arial" w:cs="Arial"/>
          <w:sz w:val="18"/>
          <w:szCs w:val="20"/>
        </w:rPr>
        <w:br/>
      </w:r>
      <w:r w:rsidR="008642DD" w:rsidRPr="00697A97">
        <w:rPr>
          <w:rFonts w:ascii="Arial" w:hAnsi="Arial" w:cs="Arial"/>
          <w:sz w:val="18"/>
          <w:szCs w:val="20"/>
          <w:shd w:val="clear" w:color="auto" w:fill="FFFFFF"/>
        </w:rPr>
        <w:t xml:space="preserve">Le dossier doit fournir au candidat des informations, factuelles ou non, pertinentes pour étayer son raisonnement. On privilégiera aussi, dans la mesure du possible, les sources statistiques en provenance des organismes de collecte et de traitement des données reconnus (Insee, </w:t>
      </w:r>
      <w:proofErr w:type="spellStart"/>
      <w:r w:rsidR="008642DD" w:rsidRPr="00697A97">
        <w:rPr>
          <w:rFonts w:ascii="Arial" w:hAnsi="Arial" w:cs="Arial"/>
          <w:sz w:val="18"/>
          <w:szCs w:val="20"/>
          <w:shd w:val="clear" w:color="auto" w:fill="FFFFFF"/>
        </w:rPr>
        <w:t>Ined</w:t>
      </w:r>
      <w:proofErr w:type="spellEnd"/>
      <w:r w:rsidR="008642DD" w:rsidRPr="00697A97">
        <w:rPr>
          <w:rFonts w:ascii="Arial" w:hAnsi="Arial" w:cs="Arial"/>
          <w:sz w:val="18"/>
          <w:szCs w:val="20"/>
          <w:shd w:val="clear" w:color="auto" w:fill="FFFFFF"/>
        </w:rPr>
        <w:t>, OCDE, OMC, FMI, etc.). Les notions des documents ne figurant ni dans les titres des thèmes ni dans les deux premières colonnes des programmes de sciences économiques et sociales (enseignement obligatoire), d'économie approfondie et de sciences sociales et politiques (enseignements de spécialité), ni dans les acquis de première figurant en troisième colonne, devront être explicitées par une note.</w:t>
      </w:r>
    </w:p>
    <w:p w:rsidR="0069508E" w:rsidRDefault="0069508E">
      <w:pPr>
        <w:rPr>
          <w:rFonts w:ascii="Arial" w:hAnsi="Arial" w:cs="Arial"/>
          <w:sz w:val="18"/>
          <w:szCs w:val="20"/>
          <w:shd w:val="clear" w:color="auto" w:fill="FFFFFF"/>
        </w:rPr>
      </w:pPr>
      <w:r>
        <w:rPr>
          <w:rFonts w:ascii="Arial" w:hAnsi="Arial" w:cs="Arial"/>
          <w:sz w:val="18"/>
          <w:szCs w:val="20"/>
          <w:shd w:val="clear" w:color="auto" w:fill="FFFFFF"/>
        </w:rPr>
        <w:br w:type="page"/>
      </w:r>
    </w:p>
    <w:p w:rsidR="00697A97" w:rsidRPr="00697A97" w:rsidRDefault="00697A97" w:rsidP="00697A97">
      <w:pPr>
        <w:spacing w:line="240" w:lineRule="auto"/>
        <w:ind w:left="-284"/>
        <w:rPr>
          <w:rFonts w:ascii="Arial" w:hAnsi="Arial" w:cs="Arial"/>
          <w:sz w:val="18"/>
          <w:szCs w:val="20"/>
          <w:shd w:val="clear" w:color="auto" w:fill="FFFFFF"/>
        </w:rPr>
      </w:pPr>
    </w:p>
    <w:p w:rsidR="00FD5931" w:rsidRPr="00016BE5" w:rsidRDefault="0007141A" w:rsidP="00FD5931">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sz w:val="32"/>
          <w:szCs w:val="32"/>
        </w:rPr>
      </w:pPr>
      <w:r>
        <w:rPr>
          <w:rFonts w:ascii="Arial" w:hAnsi="Arial" w:cs="Arial"/>
          <w:b/>
          <w:sz w:val="32"/>
          <w:szCs w:val="32"/>
        </w:rPr>
        <w:t>5</w:t>
      </w:r>
      <w:r w:rsidR="00FD5931">
        <w:rPr>
          <w:rFonts w:ascii="Arial" w:hAnsi="Arial" w:cs="Arial"/>
          <w:b/>
          <w:sz w:val="32"/>
          <w:szCs w:val="32"/>
        </w:rPr>
        <w:t xml:space="preserve">. Bibliographie - </w:t>
      </w:r>
      <w:proofErr w:type="spellStart"/>
      <w:r w:rsidR="00FD5931">
        <w:rPr>
          <w:rFonts w:ascii="Arial" w:hAnsi="Arial" w:cs="Arial"/>
          <w:b/>
          <w:sz w:val="32"/>
          <w:szCs w:val="32"/>
        </w:rPr>
        <w:t>Sitographie</w:t>
      </w:r>
      <w:proofErr w:type="spellEnd"/>
    </w:p>
    <w:p w:rsidR="00FD5931" w:rsidRPr="00697A97" w:rsidRDefault="00FD5931" w:rsidP="00697A97">
      <w:pPr>
        <w:spacing w:after="80" w:line="240" w:lineRule="auto"/>
        <w:rPr>
          <w:rFonts w:ascii="Arial" w:hAnsi="Arial" w:cs="Arial"/>
          <w:b/>
          <w:sz w:val="20"/>
          <w:szCs w:val="20"/>
          <w:u w:val="single"/>
        </w:rPr>
      </w:pPr>
      <w:r w:rsidRPr="00697A97">
        <w:rPr>
          <w:rFonts w:ascii="Arial" w:hAnsi="Arial" w:cs="Arial"/>
          <w:b/>
          <w:sz w:val="20"/>
          <w:szCs w:val="20"/>
          <w:u w:val="single"/>
        </w:rPr>
        <w:t>4.1 Bibliographie</w:t>
      </w:r>
    </w:p>
    <w:p w:rsidR="00253637" w:rsidRPr="00697A97" w:rsidRDefault="00253637" w:rsidP="00697A97">
      <w:pPr>
        <w:spacing w:after="80" w:line="240" w:lineRule="auto"/>
        <w:jc w:val="both"/>
        <w:rPr>
          <w:rFonts w:ascii="Arial" w:hAnsi="Arial" w:cs="Arial"/>
          <w:sz w:val="20"/>
          <w:szCs w:val="20"/>
        </w:rPr>
      </w:pPr>
      <w:r w:rsidRPr="00697A97">
        <w:rPr>
          <w:rFonts w:ascii="Arial" w:hAnsi="Arial" w:cs="Arial"/>
          <w:sz w:val="20"/>
          <w:szCs w:val="20"/>
        </w:rPr>
        <w:t xml:space="preserve">Artus P., </w:t>
      </w:r>
      <w:proofErr w:type="spellStart"/>
      <w:r w:rsidRPr="00697A97">
        <w:rPr>
          <w:rFonts w:ascii="Arial" w:hAnsi="Arial" w:cs="Arial"/>
          <w:sz w:val="20"/>
          <w:szCs w:val="20"/>
        </w:rPr>
        <w:t>Virard</w:t>
      </w:r>
      <w:proofErr w:type="spellEnd"/>
      <w:r w:rsidRPr="00697A97">
        <w:rPr>
          <w:rFonts w:ascii="Arial" w:hAnsi="Arial" w:cs="Arial"/>
          <w:sz w:val="20"/>
          <w:szCs w:val="20"/>
        </w:rPr>
        <w:t xml:space="preserve"> M-P., </w:t>
      </w:r>
      <w:r w:rsidRPr="00697A97">
        <w:rPr>
          <w:rFonts w:ascii="Arial" w:hAnsi="Arial" w:cs="Arial"/>
          <w:i/>
          <w:sz w:val="20"/>
          <w:szCs w:val="20"/>
        </w:rPr>
        <w:t>La folie des banques centrales</w:t>
      </w:r>
      <w:r w:rsidRPr="00697A97">
        <w:rPr>
          <w:rFonts w:ascii="Arial" w:hAnsi="Arial" w:cs="Arial"/>
          <w:sz w:val="20"/>
          <w:szCs w:val="20"/>
        </w:rPr>
        <w:t>, Fayard 2016</w:t>
      </w:r>
    </w:p>
    <w:p w:rsidR="00FD5931" w:rsidRPr="00697A97" w:rsidRDefault="00FD5931" w:rsidP="00697A97">
      <w:pPr>
        <w:spacing w:after="80" w:line="240" w:lineRule="auto"/>
        <w:jc w:val="both"/>
        <w:rPr>
          <w:rFonts w:ascii="Arial" w:hAnsi="Arial" w:cs="Arial"/>
          <w:i/>
          <w:sz w:val="20"/>
          <w:szCs w:val="20"/>
        </w:rPr>
      </w:pPr>
      <w:proofErr w:type="spellStart"/>
      <w:r w:rsidRPr="00697A97">
        <w:rPr>
          <w:rFonts w:ascii="Arial" w:hAnsi="Arial" w:cs="Arial"/>
          <w:sz w:val="20"/>
          <w:szCs w:val="20"/>
        </w:rPr>
        <w:t>Betbèze</w:t>
      </w:r>
      <w:proofErr w:type="spellEnd"/>
      <w:r w:rsidR="00253637" w:rsidRPr="00697A97">
        <w:rPr>
          <w:rFonts w:ascii="Arial" w:hAnsi="Arial" w:cs="Arial"/>
          <w:sz w:val="20"/>
          <w:szCs w:val="20"/>
        </w:rPr>
        <w:t xml:space="preserve"> J-P.</w:t>
      </w:r>
      <w:r w:rsidRPr="00697A97">
        <w:rPr>
          <w:rFonts w:ascii="Arial" w:hAnsi="Arial" w:cs="Arial"/>
          <w:sz w:val="20"/>
          <w:szCs w:val="20"/>
        </w:rPr>
        <w:t>, Bordes</w:t>
      </w:r>
      <w:r w:rsidR="00253637" w:rsidRPr="00697A97">
        <w:rPr>
          <w:rFonts w:ascii="Arial" w:hAnsi="Arial" w:cs="Arial"/>
          <w:sz w:val="20"/>
          <w:szCs w:val="20"/>
        </w:rPr>
        <w:t xml:space="preserve"> C.</w:t>
      </w:r>
      <w:r w:rsidRPr="00697A97">
        <w:rPr>
          <w:rFonts w:ascii="Arial" w:hAnsi="Arial" w:cs="Arial"/>
          <w:sz w:val="20"/>
          <w:szCs w:val="20"/>
        </w:rPr>
        <w:t xml:space="preserve">, </w:t>
      </w:r>
      <w:proofErr w:type="spellStart"/>
      <w:r w:rsidRPr="00697A97">
        <w:rPr>
          <w:rFonts w:ascii="Arial" w:hAnsi="Arial" w:cs="Arial"/>
          <w:sz w:val="20"/>
          <w:szCs w:val="20"/>
        </w:rPr>
        <w:t>Couppey-Soubeyran</w:t>
      </w:r>
      <w:proofErr w:type="spellEnd"/>
      <w:r w:rsidRPr="00697A97">
        <w:rPr>
          <w:rFonts w:ascii="Arial" w:hAnsi="Arial" w:cs="Arial"/>
          <w:sz w:val="20"/>
          <w:szCs w:val="20"/>
        </w:rPr>
        <w:t xml:space="preserve"> </w:t>
      </w:r>
      <w:r w:rsidR="00253637" w:rsidRPr="00697A97">
        <w:rPr>
          <w:rFonts w:ascii="Arial" w:hAnsi="Arial" w:cs="Arial"/>
          <w:sz w:val="20"/>
          <w:szCs w:val="20"/>
        </w:rPr>
        <w:t xml:space="preserve">J. </w:t>
      </w:r>
      <w:r w:rsidRPr="00697A97">
        <w:rPr>
          <w:rFonts w:ascii="Arial" w:hAnsi="Arial" w:cs="Arial"/>
          <w:sz w:val="20"/>
          <w:szCs w:val="20"/>
        </w:rPr>
        <w:t xml:space="preserve">et </w:t>
      </w:r>
      <w:proofErr w:type="spellStart"/>
      <w:r w:rsidRPr="00697A97">
        <w:rPr>
          <w:rFonts w:ascii="Arial" w:hAnsi="Arial" w:cs="Arial"/>
          <w:sz w:val="20"/>
          <w:szCs w:val="20"/>
        </w:rPr>
        <w:t>Plihon</w:t>
      </w:r>
      <w:proofErr w:type="spellEnd"/>
      <w:r w:rsidR="00253637" w:rsidRPr="00697A97">
        <w:rPr>
          <w:rFonts w:ascii="Arial" w:hAnsi="Arial" w:cs="Arial"/>
          <w:sz w:val="20"/>
          <w:szCs w:val="20"/>
        </w:rPr>
        <w:t xml:space="preserve"> D.</w:t>
      </w:r>
      <w:r w:rsidRPr="00697A97">
        <w:rPr>
          <w:rFonts w:ascii="Arial" w:hAnsi="Arial" w:cs="Arial"/>
          <w:sz w:val="20"/>
          <w:szCs w:val="20"/>
        </w:rPr>
        <w:t xml:space="preserve">, </w:t>
      </w:r>
      <w:r w:rsidRPr="00697A97">
        <w:rPr>
          <w:rFonts w:ascii="Arial" w:hAnsi="Arial" w:cs="Arial"/>
          <w:i/>
          <w:sz w:val="20"/>
          <w:szCs w:val="20"/>
        </w:rPr>
        <w:t>Banques centrales et stabilité financière</w:t>
      </w:r>
      <w:r w:rsidRPr="00697A97">
        <w:rPr>
          <w:rFonts w:ascii="Arial" w:hAnsi="Arial" w:cs="Arial"/>
          <w:sz w:val="20"/>
          <w:szCs w:val="20"/>
        </w:rPr>
        <w:t>, rapport du CAE, La documentation française 2011</w:t>
      </w:r>
      <w:r w:rsidRPr="00697A97">
        <w:rPr>
          <w:rFonts w:ascii="Arial" w:hAnsi="Arial" w:cs="Arial"/>
          <w:i/>
          <w:sz w:val="20"/>
          <w:szCs w:val="20"/>
        </w:rPr>
        <w:t xml:space="preserve"> </w:t>
      </w:r>
    </w:p>
    <w:p w:rsidR="00FD5931" w:rsidRPr="00697A97" w:rsidRDefault="00FD5931" w:rsidP="00697A97">
      <w:pPr>
        <w:spacing w:after="80" w:line="240" w:lineRule="auto"/>
        <w:jc w:val="both"/>
        <w:rPr>
          <w:rFonts w:ascii="Arial" w:hAnsi="Arial" w:cs="Arial"/>
          <w:i/>
          <w:sz w:val="20"/>
          <w:szCs w:val="20"/>
        </w:rPr>
      </w:pPr>
      <w:proofErr w:type="spellStart"/>
      <w:r w:rsidRPr="00697A97">
        <w:rPr>
          <w:rFonts w:ascii="Arial" w:hAnsi="Arial" w:cs="Arial"/>
          <w:sz w:val="20"/>
          <w:szCs w:val="20"/>
        </w:rPr>
        <w:t>Betbèze</w:t>
      </w:r>
      <w:proofErr w:type="spellEnd"/>
      <w:r w:rsidR="00253637" w:rsidRPr="00697A97">
        <w:rPr>
          <w:rFonts w:ascii="Arial" w:hAnsi="Arial" w:cs="Arial"/>
          <w:sz w:val="20"/>
          <w:szCs w:val="20"/>
        </w:rPr>
        <w:t xml:space="preserve"> J-P.</w:t>
      </w:r>
      <w:r w:rsidRPr="00697A97">
        <w:rPr>
          <w:rFonts w:ascii="Arial" w:hAnsi="Arial" w:cs="Arial"/>
          <w:sz w:val="20"/>
          <w:szCs w:val="20"/>
        </w:rPr>
        <w:t>, Bordes</w:t>
      </w:r>
      <w:r w:rsidR="00253637" w:rsidRPr="00697A97">
        <w:rPr>
          <w:rFonts w:ascii="Arial" w:hAnsi="Arial" w:cs="Arial"/>
          <w:sz w:val="20"/>
          <w:szCs w:val="20"/>
        </w:rPr>
        <w:t xml:space="preserve"> C.</w:t>
      </w:r>
      <w:r w:rsidRPr="00697A97">
        <w:rPr>
          <w:rFonts w:ascii="Arial" w:hAnsi="Arial" w:cs="Arial"/>
          <w:sz w:val="20"/>
          <w:szCs w:val="20"/>
        </w:rPr>
        <w:t xml:space="preserve">, </w:t>
      </w:r>
      <w:proofErr w:type="spellStart"/>
      <w:r w:rsidRPr="00697A97">
        <w:rPr>
          <w:rFonts w:ascii="Arial" w:hAnsi="Arial" w:cs="Arial"/>
          <w:sz w:val="20"/>
          <w:szCs w:val="20"/>
        </w:rPr>
        <w:t>Couppey-Soubeyran</w:t>
      </w:r>
      <w:proofErr w:type="spellEnd"/>
      <w:r w:rsidRPr="00697A97">
        <w:rPr>
          <w:rFonts w:ascii="Arial" w:hAnsi="Arial" w:cs="Arial"/>
          <w:sz w:val="20"/>
          <w:szCs w:val="20"/>
        </w:rPr>
        <w:t xml:space="preserve"> </w:t>
      </w:r>
      <w:r w:rsidR="00253637" w:rsidRPr="00697A97">
        <w:rPr>
          <w:rFonts w:ascii="Arial" w:hAnsi="Arial" w:cs="Arial"/>
          <w:sz w:val="20"/>
          <w:szCs w:val="20"/>
        </w:rPr>
        <w:t xml:space="preserve">J. </w:t>
      </w:r>
      <w:r w:rsidRPr="00697A97">
        <w:rPr>
          <w:rFonts w:ascii="Arial" w:hAnsi="Arial" w:cs="Arial"/>
          <w:sz w:val="20"/>
          <w:szCs w:val="20"/>
        </w:rPr>
        <w:t xml:space="preserve">et </w:t>
      </w:r>
      <w:proofErr w:type="spellStart"/>
      <w:r w:rsidRPr="00697A97">
        <w:rPr>
          <w:rFonts w:ascii="Arial" w:hAnsi="Arial" w:cs="Arial"/>
          <w:sz w:val="20"/>
          <w:szCs w:val="20"/>
        </w:rPr>
        <w:t>Plihon</w:t>
      </w:r>
      <w:proofErr w:type="spellEnd"/>
      <w:r w:rsidR="00253637" w:rsidRPr="00697A97">
        <w:rPr>
          <w:rFonts w:ascii="Arial" w:hAnsi="Arial" w:cs="Arial"/>
          <w:sz w:val="20"/>
          <w:szCs w:val="20"/>
        </w:rPr>
        <w:t xml:space="preserve"> D.</w:t>
      </w:r>
      <w:r w:rsidRPr="00697A97">
        <w:rPr>
          <w:rFonts w:ascii="Arial" w:hAnsi="Arial" w:cs="Arial"/>
          <w:sz w:val="20"/>
          <w:szCs w:val="20"/>
        </w:rPr>
        <w:t>, Quelles leçons de la crise pour les b</w:t>
      </w:r>
      <w:r w:rsidRPr="00697A97">
        <w:rPr>
          <w:rFonts w:ascii="Arial" w:hAnsi="Arial" w:cs="Arial"/>
          <w:i/>
          <w:sz w:val="20"/>
          <w:szCs w:val="20"/>
        </w:rPr>
        <w:t>anques centrales ?</w:t>
      </w:r>
      <w:r w:rsidRPr="00697A97">
        <w:rPr>
          <w:rFonts w:ascii="Arial" w:hAnsi="Arial" w:cs="Arial"/>
          <w:sz w:val="20"/>
          <w:szCs w:val="20"/>
        </w:rPr>
        <w:t>, La documentation française 2012</w:t>
      </w:r>
    </w:p>
    <w:p w:rsidR="00253637" w:rsidRDefault="00253637" w:rsidP="00697A97">
      <w:pPr>
        <w:spacing w:after="80" w:line="240" w:lineRule="auto"/>
        <w:rPr>
          <w:rFonts w:ascii="Arial" w:hAnsi="Arial" w:cs="Arial"/>
          <w:i/>
          <w:sz w:val="20"/>
          <w:szCs w:val="20"/>
        </w:rPr>
      </w:pPr>
      <w:r w:rsidRPr="00697A97">
        <w:rPr>
          <w:rFonts w:ascii="Arial" w:hAnsi="Arial" w:cs="Arial"/>
          <w:sz w:val="20"/>
          <w:szCs w:val="20"/>
        </w:rPr>
        <w:t xml:space="preserve">Cahier français n°375, juillet-août 2013, </w:t>
      </w:r>
      <w:r w:rsidRPr="00697A97">
        <w:rPr>
          <w:rFonts w:ascii="Arial" w:hAnsi="Arial" w:cs="Arial"/>
          <w:i/>
          <w:sz w:val="20"/>
          <w:szCs w:val="20"/>
        </w:rPr>
        <w:t>La finance mise au pas ?</w:t>
      </w:r>
    </w:p>
    <w:p w:rsidR="00E3536D" w:rsidRPr="00E3536D" w:rsidRDefault="00E3536D" w:rsidP="00697A97">
      <w:pPr>
        <w:spacing w:after="80" w:line="240" w:lineRule="auto"/>
        <w:rPr>
          <w:rFonts w:ascii="Arial" w:hAnsi="Arial" w:cs="Arial"/>
          <w:sz w:val="20"/>
          <w:szCs w:val="20"/>
        </w:rPr>
      </w:pPr>
      <w:r>
        <w:rPr>
          <w:rFonts w:ascii="Arial" w:hAnsi="Arial" w:cs="Arial"/>
          <w:sz w:val="20"/>
          <w:szCs w:val="20"/>
        </w:rPr>
        <w:t xml:space="preserve">Cahier français n° 387, juillet-août 2015, </w:t>
      </w:r>
      <w:r w:rsidRPr="00E3536D">
        <w:rPr>
          <w:rFonts w:ascii="Arial" w:hAnsi="Arial" w:cs="Arial"/>
          <w:i/>
          <w:sz w:val="20"/>
          <w:szCs w:val="20"/>
        </w:rPr>
        <w:t>Crise de la zone euro : où en sommes-nous ?</w:t>
      </w:r>
      <w:r>
        <w:rPr>
          <w:rFonts w:ascii="Arial" w:hAnsi="Arial" w:cs="Arial"/>
          <w:sz w:val="20"/>
          <w:szCs w:val="20"/>
        </w:rPr>
        <w:t xml:space="preserve"> </w:t>
      </w:r>
    </w:p>
    <w:p w:rsidR="00B80FE4" w:rsidRPr="00697A97" w:rsidRDefault="00B80FE4" w:rsidP="00697A97">
      <w:pPr>
        <w:spacing w:after="80" w:line="240" w:lineRule="auto"/>
        <w:rPr>
          <w:rFonts w:ascii="Arial" w:hAnsi="Arial" w:cs="Arial"/>
          <w:sz w:val="20"/>
          <w:szCs w:val="20"/>
        </w:rPr>
      </w:pPr>
      <w:proofErr w:type="spellStart"/>
      <w:r w:rsidRPr="00697A97">
        <w:rPr>
          <w:rFonts w:ascii="Arial" w:hAnsi="Arial" w:cs="Arial"/>
          <w:sz w:val="20"/>
          <w:szCs w:val="20"/>
        </w:rPr>
        <w:t>Chavagneux</w:t>
      </w:r>
      <w:proofErr w:type="spellEnd"/>
      <w:r w:rsidRPr="00697A97">
        <w:rPr>
          <w:rFonts w:ascii="Arial" w:hAnsi="Arial" w:cs="Arial"/>
          <w:sz w:val="20"/>
          <w:szCs w:val="20"/>
        </w:rPr>
        <w:t xml:space="preserve"> </w:t>
      </w:r>
      <w:proofErr w:type="spellStart"/>
      <w:r w:rsidRPr="00697A97">
        <w:rPr>
          <w:rFonts w:ascii="Arial" w:hAnsi="Arial" w:cs="Arial"/>
          <w:sz w:val="20"/>
          <w:szCs w:val="20"/>
        </w:rPr>
        <w:t>Ch</w:t>
      </w:r>
      <w:proofErr w:type="spellEnd"/>
      <w:r w:rsidRPr="00697A97">
        <w:rPr>
          <w:rFonts w:ascii="Arial" w:hAnsi="Arial" w:cs="Arial"/>
          <w:sz w:val="20"/>
          <w:szCs w:val="20"/>
        </w:rPr>
        <w:t xml:space="preserve">, </w:t>
      </w:r>
      <w:proofErr w:type="spellStart"/>
      <w:r w:rsidRPr="00697A97">
        <w:rPr>
          <w:rFonts w:ascii="Arial" w:hAnsi="Arial" w:cs="Arial"/>
          <w:sz w:val="20"/>
          <w:szCs w:val="20"/>
        </w:rPr>
        <w:t>Philiponnat</w:t>
      </w:r>
      <w:proofErr w:type="spellEnd"/>
      <w:r w:rsidRPr="00697A97">
        <w:rPr>
          <w:rFonts w:ascii="Arial" w:hAnsi="Arial" w:cs="Arial"/>
          <w:sz w:val="20"/>
          <w:szCs w:val="20"/>
        </w:rPr>
        <w:t xml:space="preserve">, </w:t>
      </w:r>
      <w:r w:rsidRPr="00697A97">
        <w:rPr>
          <w:rFonts w:ascii="Arial" w:hAnsi="Arial" w:cs="Arial"/>
          <w:i/>
          <w:sz w:val="20"/>
          <w:szCs w:val="20"/>
        </w:rPr>
        <w:t>La capture,</w:t>
      </w:r>
      <w:r w:rsidRPr="00697A97">
        <w:rPr>
          <w:rFonts w:ascii="Arial" w:hAnsi="Arial" w:cs="Arial"/>
          <w:sz w:val="20"/>
          <w:szCs w:val="20"/>
        </w:rPr>
        <w:t xml:space="preserve"> La découverte 2014</w:t>
      </w:r>
    </w:p>
    <w:p w:rsidR="00B80FE4" w:rsidRPr="00697A97" w:rsidRDefault="00B80FE4" w:rsidP="00697A97">
      <w:pPr>
        <w:spacing w:after="80" w:line="240" w:lineRule="auto"/>
        <w:rPr>
          <w:rFonts w:ascii="Arial" w:hAnsi="Arial" w:cs="Arial"/>
          <w:sz w:val="20"/>
          <w:szCs w:val="20"/>
        </w:rPr>
      </w:pPr>
      <w:proofErr w:type="spellStart"/>
      <w:r w:rsidRPr="00697A97">
        <w:rPr>
          <w:rFonts w:ascii="Arial" w:hAnsi="Arial" w:cs="Arial"/>
          <w:sz w:val="20"/>
          <w:szCs w:val="20"/>
        </w:rPr>
        <w:t>Couppey-Soubeyran</w:t>
      </w:r>
      <w:proofErr w:type="spellEnd"/>
      <w:r w:rsidRPr="00697A97">
        <w:rPr>
          <w:rFonts w:ascii="Arial" w:hAnsi="Arial" w:cs="Arial"/>
          <w:sz w:val="20"/>
          <w:szCs w:val="20"/>
        </w:rPr>
        <w:t xml:space="preserve"> J., </w:t>
      </w:r>
      <w:proofErr w:type="spellStart"/>
      <w:r w:rsidRPr="00697A97">
        <w:rPr>
          <w:rFonts w:ascii="Arial" w:hAnsi="Arial" w:cs="Arial"/>
          <w:i/>
          <w:sz w:val="20"/>
          <w:szCs w:val="20"/>
        </w:rPr>
        <w:t>Blablabanque</w:t>
      </w:r>
      <w:proofErr w:type="spellEnd"/>
      <w:r w:rsidRPr="00697A97">
        <w:rPr>
          <w:rFonts w:ascii="Arial" w:hAnsi="Arial" w:cs="Arial"/>
          <w:sz w:val="20"/>
          <w:szCs w:val="20"/>
        </w:rPr>
        <w:t>, Michalon 2015</w:t>
      </w:r>
    </w:p>
    <w:p w:rsidR="00253637" w:rsidRPr="00D87EF8" w:rsidRDefault="00253637" w:rsidP="00D87EF8">
      <w:pPr>
        <w:pStyle w:val="Style"/>
        <w:ind w:right="38"/>
        <w:jc w:val="both"/>
        <w:rPr>
          <w:sz w:val="20"/>
          <w:szCs w:val="20"/>
        </w:rPr>
      </w:pPr>
      <w:proofErr w:type="spellStart"/>
      <w:r w:rsidRPr="00697A97">
        <w:rPr>
          <w:sz w:val="20"/>
          <w:szCs w:val="20"/>
        </w:rPr>
        <w:t>Goodhart</w:t>
      </w:r>
      <w:proofErr w:type="spellEnd"/>
      <w:r w:rsidRPr="00697A97">
        <w:rPr>
          <w:sz w:val="20"/>
          <w:szCs w:val="20"/>
        </w:rPr>
        <w:t xml:space="preserve"> C.E.E., </w:t>
      </w:r>
      <w:r w:rsidRPr="00697A97">
        <w:rPr>
          <w:i/>
          <w:sz w:val="20"/>
          <w:szCs w:val="20"/>
        </w:rPr>
        <w:t>La surveillance macro-</w:t>
      </w:r>
      <w:r w:rsidRPr="00697A97">
        <w:rPr>
          <w:sz w:val="20"/>
          <w:szCs w:val="20"/>
        </w:rPr>
        <w:t xml:space="preserve">prudentielle, in J-P. </w:t>
      </w:r>
      <w:proofErr w:type="spellStart"/>
      <w:r w:rsidRPr="00697A97">
        <w:rPr>
          <w:sz w:val="20"/>
          <w:szCs w:val="20"/>
        </w:rPr>
        <w:t>Betbèze</w:t>
      </w:r>
      <w:proofErr w:type="spellEnd"/>
      <w:r w:rsidRPr="00697A97">
        <w:rPr>
          <w:sz w:val="20"/>
          <w:szCs w:val="20"/>
        </w:rPr>
        <w:t xml:space="preserve">, C. Bordes, J. </w:t>
      </w:r>
      <w:proofErr w:type="spellStart"/>
      <w:r w:rsidRPr="00697A97">
        <w:rPr>
          <w:sz w:val="20"/>
          <w:szCs w:val="20"/>
        </w:rPr>
        <w:t>Couppey-Soubeyran</w:t>
      </w:r>
      <w:proofErr w:type="spellEnd"/>
      <w:r w:rsidRPr="00697A97">
        <w:rPr>
          <w:sz w:val="20"/>
          <w:szCs w:val="20"/>
        </w:rPr>
        <w:t xml:space="preserve"> et D. </w:t>
      </w:r>
      <w:proofErr w:type="spellStart"/>
      <w:r w:rsidRPr="00697A97">
        <w:rPr>
          <w:sz w:val="20"/>
          <w:szCs w:val="20"/>
        </w:rPr>
        <w:t>Plihon</w:t>
      </w:r>
      <w:proofErr w:type="spellEnd"/>
      <w:r w:rsidRPr="00697A97">
        <w:rPr>
          <w:sz w:val="20"/>
          <w:szCs w:val="20"/>
        </w:rPr>
        <w:t xml:space="preserve">, </w:t>
      </w:r>
      <w:r w:rsidRPr="00697A97">
        <w:rPr>
          <w:i/>
          <w:sz w:val="20"/>
          <w:szCs w:val="20"/>
        </w:rPr>
        <w:t>Banques centrales et stabilité financière</w:t>
      </w:r>
      <w:r w:rsidRPr="00697A97">
        <w:rPr>
          <w:sz w:val="20"/>
          <w:szCs w:val="20"/>
        </w:rPr>
        <w:t>, rapport du CAE, La documentation française 2011,</w:t>
      </w:r>
      <w:r w:rsidRPr="00697A97">
        <w:rPr>
          <w:i/>
          <w:sz w:val="20"/>
          <w:szCs w:val="20"/>
        </w:rPr>
        <w:t xml:space="preserve"> </w:t>
      </w:r>
      <w:r w:rsidRPr="00697A97">
        <w:rPr>
          <w:sz w:val="20"/>
          <w:szCs w:val="20"/>
        </w:rPr>
        <w:t>pp295-314</w:t>
      </w:r>
    </w:p>
    <w:p w:rsidR="00253637" w:rsidRPr="00D87EF8" w:rsidRDefault="00253637" w:rsidP="00D87EF8">
      <w:pPr>
        <w:pStyle w:val="Style"/>
        <w:spacing w:after="80"/>
        <w:ind w:right="38"/>
        <w:jc w:val="both"/>
        <w:rPr>
          <w:w w:val="109"/>
          <w:sz w:val="20"/>
          <w:szCs w:val="20"/>
        </w:rPr>
      </w:pPr>
      <w:r w:rsidRPr="00697A97">
        <w:rPr>
          <w:w w:val="109"/>
          <w:sz w:val="20"/>
          <w:szCs w:val="20"/>
        </w:rPr>
        <w:t>Le Héron E.</w:t>
      </w:r>
      <w:r w:rsidR="00FD5931" w:rsidRPr="00697A97">
        <w:rPr>
          <w:w w:val="109"/>
          <w:sz w:val="20"/>
          <w:szCs w:val="20"/>
        </w:rPr>
        <w:t xml:space="preserve">, </w:t>
      </w:r>
      <w:r w:rsidR="00FD5931" w:rsidRPr="00697A97">
        <w:rPr>
          <w:i/>
          <w:w w:val="109"/>
          <w:sz w:val="20"/>
          <w:szCs w:val="20"/>
        </w:rPr>
        <w:t>A quoi sert la Banque centrale européenne ?</w:t>
      </w:r>
      <w:r w:rsidR="00FD5931" w:rsidRPr="00697A97">
        <w:rPr>
          <w:w w:val="109"/>
          <w:sz w:val="20"/>
          <w:szCs w:val="20"/>
        </w:rPr>
        <w:t>, La documentation française 2016</w:t>
      </w:r>
    </w:p>
    <w:p w:rsidR="00253637" w:rsidRPr="00697A97" w:rsidRDefault="00253637" w:rsidP="00697A97">
      <w:pPr>
        <w:pStyle w:val="Listepuces"/>
        <w:numPr>
          <w:ilvl w:val="0"/>
          <w:numId w:val="0"/>
        </w:numPr>
        <w:spacing w:after="80" w:line="240" w:lineRule="auto"/>
        <w:jc w:val="both"/>
        <w:rPr>
          <w:rFonts w:ascii="Arial" w:eastAsiaTheme="minorEastAsia" w:hAnsi="Arial" w:cs="Arial"/>
          <w:sz w:val="20"/>
          <w:szCs w:val="20"/>
          <w:lang w:eastAsia="fr-FR"/>
        </w:rPr>
      </w:pPr>
      <w:r w:rsidRPr="00697A97">
        <w:rPr>
          <w:rFonts w:ascii="Arial" w:hAnsi="Arial" w:cs="Arial"/>
          <w:sz w:val="20"/>
          <w:szCs w:val="20"/>
        </w:rPr>
        <w:t xml:space="preserve">Le Lien Ch., </w:t>
      </w:r>
      <w:proofErr w:type="spellStart"/>
      <w:r w:rsidRPr="00697A97">
        <w:rPr>
          <w:rFonts w:ascii="Arial" w:hAnsi="Arial" w:cs="Arial"/>
          <w:sz w:val="20"/>
          <w:szCs w:val="20"/>
        </w:rPr>
        <w:t>Simonnot</w:t>
      </w:r>
      <w:proofErr w:type="spellEnd"/>
      <w:r w:rsidRPr="00697A97">
        <w:rPr>
          <w:rFonts w:ascii="Arial" w:hAnsi="Arial" w:cs="Arial"/>
          <w:sz w:val="20"/>
          <w:szCs w:val="20"/>
        </w:rPr>
        <w:t xml:space="preserve"> P., </w:t>
      </w:r>
      <w:r w:rsidRPr="00697A97">
        <w:rPr>
          <w:rFonts w:ascii="Arial" w:hAnsi="Arial" w:cs="Arial"/>
          <w:i/>
          <w:sz w:val="20"/>
          <w:szCs w:val="20"/>
        </w:rPr>
        <w:t>La monnaie, histoire d’une imposture</w:t>
      </w:r>
      <w:r w:rsidRPr="00697A97">
        <w:rPr>
          <w:rFonts w:ascii="Arial" w:hAnsi="Arial" w:cs="Arial"/>
          <w:sz w:val="20"/>
          <w:szCs w:val="20"/>
        </w:rPr>
        <w:t>, Perrin 2012</w:t>
      </w:r>
    </w:p>
    <w:p w:rsidR="00D84315" w:rsidRDefault="00D84315" w:rsidP="00697A97">
      <w:pPr>
        <w:spacing w:after="80" w:line="240" w:lineRule="auto"/>
        <w:rPr>
          <w:rFonts w:ascii="Arial" w:hAnsi="Arial" w:cs="Arial"/>
          <w:i/>
          <w:sz w:val="20"/>
          <w:szCs w:val="20"/>
        </w:rPr>
      </w:pPr>
      <w:r w:rsidRPr="00697A97">
        <w:rPr>
          <w:rFonts w:ascii="Arial" w:hAnsi="Arial" w:cs="Arial"/>
          <w:sz w:val="20"/>
          <w:szCs w:val="20"/>
        </w:rPr>
        <w:t xml:space="preserve">Problèmes économiques n°3126, 02.2016, </w:t>
      </w:r>
      <w:r w:rsidRPr="00697A97">
        <w:rPr>
          <w:rFonts w:ascii="Arial" w:hAnsi="Arial" w:cs="Arial"/>
          <w:i/>
          <w:sz w:val="20"/>
          <w:szCs w:val="20"/>
        </w:rPr>
        <w:t>Le nouveau rôle des Banques centrales</w:t>
      </w:r>
      <w:r w:rsidR="00E3536D">
        <w:rPr>
          <w:rFonts w:ascii="Arial" w:hAnsi="Arial" w:cs="Arial"/>
          <w:i/>
          <w:sz w:val="20"/>
          <w:szCs w:val="20"/>
        </w:rPr>
        <w:t>.</w:t>
      </w:r>
    </w:p>
    <w:p w:rsidR="00E3536D" w:rsidRDefault="00E3536D" w:rsidP="00697A97">
      <w:pPr>
        <w:spacing w:after="80" w:line="240" w:lineRule="auto"/>
        <w:rPr>
          <w:rFonts w:ascii="Arial" w:hAnsi="Arial" w:cs="Arial"/>
          <w:i/>
          <w:sz w:val="20"/>
          <w:szCs w:val="20"/>
        </w:rPr>
      </w:pPr>
      <w:r>
        <w:rPr>
          <w:rFonts w:ascii="Arial" w:hAnsi="Arial" w:cs="Arial"/>
          <w:sz w:val="20"/>
          <w:szCs w:val="20"/>
        </w:rPr>
        <w:t xml:space="preserve">Problèmes économiques n°3123, 12.2015, </w:t>
      </w:r>
      <w:r>
        <w:rPr>
          <w:rFonts w:ascii="Arial" w:hAnsi="Arial" w:cs="Arial"/>
          <w:i/>
          <w:sz w:val="20"/>
          <w:szCs w:val="20"/>
        </w:rPr>
        <w:t>La monnaie, quel avenir ?</w:t>
      </w:r>
    </w:p>
    <w:p w:rsidR="0069508E" w:rsidRPr="0069508E" w:rsidRDefault="0069508E" w:rsidP="00697A97">
      <w:pPr>
        <w:spacing w:after="80" w:line="240" w:lineRule="auto"/>
        <w:rPr>
          <w:rFonts w:ascii="Arial" w:hAnsi="Arial" w:cs="Arial"/>
          <w:sz w:val="20"/>
          <w:szCs w:val="20"/>
        </w:rPr>
      </w:pPr>
      <w:r w:rsidRPr="0069508E">
        <w:rPr>
          <w:rFonts w:ascii="Arial" w:hAnsi="Arial" w:cs="Arial"/>
          <w:sz w:val="20"/>
          <w:szCs w:val="20"/>
        </w:rPr>
        <w:t>Voisin M.</w:t>
      </w:r>
      <w:r>
        <w:rPr>
          <w:rFonts w:ascii="Arial" w:hAnsi="Arial" w:cs="Arial"/>
          <w:i/>
          <w:sz w:val="20"/>
          <w:szCs w:val="20"/>
        </w:rPr>
        <w:t xml:space="preserve">, Comprendre la monnaie et les politiques monétaires, </w:t>
      </w:r>
      <w:r>
        <w:rPr>
          <w:rFonts w:ascii="Arial" w:hAnsi="Arial" w:cs="Arial"/>
          <w:sz w:val="20"/>
          <w:szCs w:val="20"/>
        </w:rPr>
        <w:t>3</w:t>
      </w:r>
      <w:r w:rsidRPr="0069508E">
        <w:rPr>
          <w:rFonts w:ascii="Arial" w:hAnsi="Arial" w:cs="Arial"/>
          <w:sz w:val="20"/>
          <w:szCs w:val="20"/>
          <w:vertAlign w:val="superscript"/>
        </w:rPr>
        <w:t>ème</w:t>
      </w:r>
      <w:r>
        <w:rPr>
          <w:rFonts w:ascii="Arial" w:hAnsi="Arial" w:cs="Arial"/>
          <w:sz w:val="20"/>
          <w:szCs w:val="20"/>
        </w:rPr>
        <w:t xml:space="preserve"> </w:t>
      </w:r>
      <w:proofErr w:type="spellStart"/>
      <w:r>
        <w:rPr>
          <w:rFonts w:ascii="Arial" w:hAnsi="Arial" w:cs="Arial"/>
          <w:sz w:val="20"/>
          <w:szCs w:val="20"/>
        </w:rPr>
        <w:t>ed</w:t>
      </w:r>
      <w:proofErr w:type="spellEnd"/>
      <w:r>
        <w:rPr>
          <w:rFonts w:ascii="Arial" w:hAnsi="Arial" w:cs="Arial"/>
          <w:sz w:val="20"/>
          <w:szCs w:val="20"/>
        </w:rPr>
        <w:t>, Bréal 2016</w:t>
      </w:r>
    </w:p>
    <w:p w:rsidR="0061345E" w:rsidRPr="00697A97" w:rsidRDefault="0061345E" w:rsidP="00697A97">
      <w:pPr>
        <w:spacing w:after="80" w:line="240" w:lineRule="auto"/>
        <w:rPr>
          <w:rFonts w:ascii="Arial" w:hAnsi="Arial" w:cs="Arial"/>
          <w:sz w:val="20"/>
          <w:szCs w:val="20"/>
        </w:rPr>
      </w:pPr>
    </w:p>
    <w:p w:rsidR="00D84315" w:rsidRPr="00697A97" w:rsidRDefault="00D84315" w:rsidP="00697A97">
      <w:pPr>
        <w:spacing w:after="80" w:line="240" w:lineRule="auto"/>
        <w:rPr>
          <w:rFonts w:ascii="Arial" w:hAnsi="Arial" w:cs="Arial"/>
          <w:b/>
          <w:sz w:val="20"/>
          <w:szCs w:val="20"/>
          <w:u w:val="single"/>
        </w:rPr>
      </w:pPr>
      <w:r w:rsidRPr="00697A97">
        <w:rPr>
          <w:rFonts w:ascii="Arial" w:hAnsi="Arial" w:cs="Arial"/>
          <w:b/>
          <w:sz w:val="20"/>
          <w:szCs w:val="20"/>
          <w:u w:val="single"/>
        </w:rPr>
        <w:t xml:space="preserve">4.2 </w:t>
      </w:r>
      <w:proofErr w:type="spellStart"/>
      <w:r w:rsidRPr="00697A97">
        <w:rPr>
          <w:rFonts w:ascii="Arial" w:hAnsi="Arial" w:cs="Arial"/>
          <w:b/>
          <w:sz w:val="20"/>
          <w:szCs w:val="20"/>
          <w:u w:val="single"/>
        </w:rPr>
        <w:t>Sitographie</w:t>
      </w:r>
      <w:proofErr w:type="spellEnd"/>
    </w:p>
    <w:p w:rsidR="00D84315" w:rsidRPr="00697A97" w:rsidRDefault="00D84315" w:rsidP="00697A97">
      <w:pPr>
        <w:spacing w:after="80" w:line="240" w:lineRule="auto"/>
        <w:rPr>
          <w:rFonts w:ascii="Arial" w:hAnsi="Arial" w:cs="Arial"/>
          <w:sz w:val="20"/>
          <w:szCs w:val="20"/>
        </w:rPr>
      </w:pPr>
      <w:r w:rsidRPr="00697A97">
        <w:rPr>
          <w:rFonts w:ascii="Arial" w:hAnsi="Arial" w:cs="Arial"/>
          <w:sz w:val="20"/>
          <w:szCs w:val="20"/>
        </w:rPr>
        <w:t xml:space="preserve">Banque centrale européenne : </w:t>
      </w:r>
      <w:hyperlink r:id="rId32" w:history="1">
        <w:r w:rsidR="0061345E" w:rsidRPr="00697A97">
          <w:rPr>
            <w:rStyle w:val="Lienhypertexte"/>
            <w:rFonts w:ascii="Arial" w:hAnsi="Arial" w:cs="Arial"/>
            <w:sz w:val="20"/>
            <w:szCs w:val="20"/>
          </w:rPr>
          <w:t>www.ecb.europa.eu</w:t>
        </w:r>
      </w:hyperlink>
    </w:p>
    <w:p w:rsidR="00D84315" w:rsidRPr="00697A97" w:rsidRDefault="00D84315" w:rsidP="00697A97">
      <w:pPr>
        <w:spacing w:after="80" w:line="240" w:lineRule="auto"/>
        <w:rPr>
          <w:rFonts w:ascii="Arial" w:hAnsi="Arial" w:cs="Arial"/>
          <w:sz w:val="20"/>
          <w:szCs w:val="20"/>
        </w:rPr>
      </w:pPr>
      <w:r w:rsidRPr="00697A97">
        <w:rPr>
          <w:rFonts w:ascii="Arial" w:hAnsi="Arial" w:cs="Arial"/>
          <w:sz w:val="20"/>
          <w:szCs w:val="20"/>
        </w:rPr>
        <w:t xml:space="preserve">Banque de France : </w:t>
      </w:r>
      <w:hyperlink r:id="rId33" w:history="1">
        <w:r w:rsidRPr="00697A97">
          <w:rPr>
            <w:rStyle w:val="Lienhypertexte"/>
            <w:rFonts w:ascii="Arial" w:hAnsi="Arial" w:cs="Arial"/>
            <w:sz w:val="20"/>
            <w:szCs w:val="20"/>
          </w:rPr>
          <w:t>www.banque-france.fr</w:t>
        </w:r>
      </w:hyperlink>
    </w:p>
    <w:p w:rsidR="0069508E" w:rsidRDefault="0069508E" w:rsidP="00697A97">
      <w:pPr>
        <w:spacing w:after="80" w:line="240" w:lineRule="auto"/>
        <w:rPr>
          <w:rFonts w:ascii="Arial" w:hAnsi="Arial" w:cs="Arial"/>
          <w:sz w:val="20"/>
          <w:szCs w:val="20"/>
        </w:rPr>
      </w:pPr>
      <w:r>
        <w:rPr>
          <w:rFonts w:ascii="Arial" w:hAnsi="Arial" w:cs="Arial"/>
          <w:sz w:val="20"/>
          <w:szCs w:val="20"/>
        </w:rPr>
        <w:t xml:space="preserve">Banque de France, </w:t>
      </w:r>
      <w:r w:rsidRPr="0069508E">
        <w:rPr>
          <w:rFonts w:ascii="Arial" w:hAnsi="Arial" w:cs="Arial"/>
          <w:i/>
          <w:sz w:val="20"/>
          <w:szCs w:val="20"/>
        </w:rPr>
        <w:t>Qu’est-ce que la politique monétaire ?,</w:t>
      </w:r>
      <w:r>
        <w:rPr>
          <w:rFonts w:ascii="Arial" w:hAnsi="Arial" w:cs="Arial"/>
          <w:sz w:val="20"/>
          <w:szCs w:val="20"/>
        </w:rPr>
        <w:t xml:space="preserve"> 07/2016 : </w:t>
      </w:r>
      <w:hyperlink r:id="rId34" w:history="1">
        <w:r w:rsidRPr="003A03C5">
          <w:rPr>
            <w:rStyle w:val="Lienhypertexte"/>
            <w:rFonts w:ascii="Arial" w:hAnsi="Arial" w:cs="Arial"/>
            <w:sz w:val="20"/>
            <w:szCs w:val="20"/>
          </w:rPr>
          <w:t>https://www.banque-france.fr/fileadmin/user_upload/banque_de_france/publications/l_eco_en_bref/l-eco-en-bref-la-politique-monetaire.pdf</w:t>
        </w:r>
      </w:hyperlink>
    </w:p>
    <w:p w:rsidR="00D84315" w:rsidRDefault="0061345E" w:rsidP="00697A97">
      <w:pPr>
        <w:spacing w:after="80" w:line="240" w:lineRule="auto"/>
        <w:rPr>
          <w:rStyle w:val="Lienhypertexte"/>
          <w:rFonts w:ascii="Arial" w:hAnsi="Arial" w:cs="Arial"/>
          <w:sz w:val="20"/>
          <w:szCs w:val="20"/>
        </w:rPr>
      </w:pPr>
      <w:r w:rsidRPr="00697A97">
        <w:rPr>
          <w:rFonts w:ascii="Arial" w:hAnsi="Arial" w:cs="Arial"/>
          <w:sz w:val="20"/>
          <w:szCs w:val="20"/>
        </w:rPr>
        <w:t xml:space="preserve">Blog de Bernard </w:t>
      </w:r>
      <w:proofErr w:type="spellStart"/>
      <w:r w:rsidRPr="00697A97">
        <w:rPr>
          <w:rFonts w:ascii="Arial" w:hAnsi="Arial" w:cs="Arial"/>
          <w:sz w:val="20"/>
          <w:szCs w:val="20"/>
        </w:rPr>
        <w:t>Cherlonneix</w:t>
      </w:r>
      <w:proofErr w:type="spellEnd"/>
      <w:r w:rsidRPr="00697A97">
        <w:rPr>
          <w:rFonts w:ascii="Arial" w:hAnsi="Arial" w:cs="Arial"/>
          <w:sz w:val="20"/>
          <w:szCs w:val="20"/>
        </w:rPr>
        <w:t xml:space="preserve"> : </w:t>
      </w:r>
      <w:hyperlink r:id="rId35" w:history="1">
        <w:r w:rsidRPr="00697A97">
          <w:rPr>
            <w:rStyle w:val="Lienhypertexte"/>
            <w:rFonts w:ascii="Arial" w:hAnsi="Arial" w:cs="Arial"/>
            <w:sz w:val="20"/>
            <w:szCs w:val="20"/>
          </w:rPr>
          <w:t>https://bernardcherlonneix.wordpress.com/</w:t>
        </w:r>
      </w:hyperlink>
    </w:p>
    <w:p w:rsidR="000544AB" w:rsidRDefault="000544AB" w:rsidP="00697A97">
      <w:pPr>
        <w:spacing w:after="80" w:line="240" w:lineRule="auto"/>
        <w:rPr>
          <w:rStyle w:val="Lienhypertexte"/>
          <w:rFonts w:ascii="Arial" w:hAnsi="Arial" w:cs="Arial"/>
          <w:color w:val="000000" w:themeColor="text1"/>
          <w:sz w:val="20"/>
          <w:szCs w:val="20"/>
          <w:u w:val="none"/>
        </w:rPr>
      </w:pPr>
      <w:proofErr w:type="spellStart"/>
      <w:r>
        <w:rPr>
          <w:rStyle w:val="Lienhypertexte"/>
          <w:rFonts w:ascii="Arial" w:hAnsi="Arial" w:cs="Arial"/>
          <w:color w:val="000000" w:themeColor="text1"/>
          <w:sz w:val="20"/>
          <w:szCs w:val="20"/>
          <w:u w:val="none"/>
        </w:rPr>
        <w:t>Citedeleconomie</w:t>
      </w:r>
      <w:proofErr w:type="spellEnd"/>
      <w:r>
        <w:rPr>
          <w:rStyle w:val="Lienhypertexte"/>
          <w:rFonts w:ascii="Arial" w:hAnsi="Arial" w:cs="Arial"/>
          <w:color w:val="000000" w:themeColor="text1"/>
          <w:sz w:val="20"/>
          <w:szCs w:val="20"/>
          <w:u w:val="none"/>
        </w:rPr>
        <w:t xml:space="preserve">, politique monétaire conventionnelle, 12/04/16 (Vidéo) : </w:t>
      </w:r>
      <w:hyperlink r:id="rId36" w:history="1">
        <w:r w:rsidRPr="003A03C5">
          <w:rPr>
            <w:rStyle w:val="Lienhypertexte"/>
            <w:rFonts w:ascii="Arial" w:hAnsi="Arial" w:cs="Arial"/>
            <w:sz w:val="20"/>
            <w:szCs w:val="20"/>
          </w:rPr>
          <w:t>https://www.youtube.com/watch?v=cTN6MDn1aVg</w:t>
        </w:r>
      </w:hyperlink>
    </w:p>
    <w:p w:rsidR="000544AB" w:rsidRDefault="000544AB" w:rsidP="00697A97">
      <w:pPr>
        <w:spacing w:after="80" w:line="240" w:lineRule="auto"/>
        <w:rPr>
          <w:rStyle w:val="Lienhypertexte"/>
          <w:rFonts w:ascii="Arial" w:hAnsi="Arial" w:cs="Arial"/>
          <w:color w:val="000000" w:themeColor="text1"/>
          <w:sz w:val="20"/>
          <w:szCs w:val="20"/>
          <w:u w:val="none"/>
        </w:rPr>
      </w:pPr>
      <w:proofErr w:type="spellStart"/>
      <w:r>
        <w:rPr>
          <w:rStyle w:val="Lienhypertexte"/>
          <w:rFonts w:ascii="Arial" w:hAnsi="Arial" w:cs="Arial"/>
          <w:color w:val="000000" w:themeColor="text1"/>
          <w:sz w:val="20"/>
          <w:szCs w:val="20"/>
          <w:u w:val="none"/>
        </w:rPr>
        <w:t>Citedeleconomie</w:t>
      </w:r>
      <w:proofErr w:type="spellEnd"/>
      <w:r>
        <w:rPr>
          <w:rStyle w:val="Lienhypertexte"/>
          <w:rFonts w:ascii="Arial" w:hAnsi="Arial" w:cs="Arial"/>
          <w:color w:val="000000" w:themeColor="text1"/>
          <w:sz w:val="20"/>
          <w:szCs w:val="20"/>
          <w:u w:val="none"/>
        </w:rPr>
        <w:t xml:space="preserve">, politique monétaire non conventionnelle, 12/04/2016 (Vidéo) : </w:t>
      </w:r>
      <w:hyperlink r:id="rId37" w:history="1">
        <w:r w:rsidRPr="003A03C5">
          <w:rPr>
            <w:rStyle w:val="Lienhypertexte"/>
            <w:rFonts w:ascii="Arial" w:hAnsi="Arial" w:cs="Arial"/>
            <w:sz w:val="20"/>
            <w:szCs w:val="20"/>
          </w:rPr>
          <w:t>https://www.youtube.com/watch?v=BXNlJYwy-p4</w:t>
        </w:r>
      </w:hyperlink>
    </w:p>
    <w:p w:rsidR="000544AB" w:rsidRDefault="000544AB" w:rsidP="00697A97">
      <w:pPr>
        <w:spacing w:after="80" w:line="240" w:lineRule="auto"/>
        <w:rPr>
          <w:rStyle w:val="Lienhypertexte"/>
          <w:rFonts w:ascii="Arial" w:hAnsi="Arial" w:cs="Arial"/>
          <w:color w:val="000000" w:themeColor="text1"/>
          <w:sz w:val="20"/>
          <w:szCs w:val="20"/>
          <w:u w:val="none"/>
        </w:rPr>
      </w:pPr>
      <w:proofErr w:type="spellStart"/>
      <w:r>
        <w:rPr>
          <w:rStyle w:val="Lienhypertexte"/>
          <w:rFonts w:ascii="Arial" w:hAnsi="Arial" w:cs="Arial"/>
          <w:color w:val="000000" w:themeColor="text1"/>
          <w:sz w:val="20"/>
          <w:szCs w:val="20"/>
          <w:u w:val="none"/>
        </w:rPr>
        <w:t>Couppey-Soubeyran</w:t>
      </w:r>
      <w:proofErr w:type="spellEnd"/>
      <w:r>
        <w:rPr>
          <w:rStyle w:val="Lienhypertexte"/>
          <w:rFonts w:ascii="Arial" w:hAnsi="Arial" w:cs="Arial"/>
          <w:color w:val="000000" w:themeColor="text1"/>
          <w:sz w:val="20"/>
          <w:szCs w:val="20"/>
          <w:u w:val="none"/>
        </w:rPr>
        <w:t xml:space="preserve"> J., </w:t>
      </w:r>
      <w:r>
        <w:rPr>
          <w:rStyle w:val="Lienhypertexte"/>
          <w:rFonts w:ascii="Arial" w:hAnsi="Arial" w:cs="Arial"/>
          <w:i/>
          <w:color w:val="000000" w:themeColor="text1"/>
          <w:sz w:val="20"/>
          <w:szCs w:val="20"/>
          <w:u w:val="none"/>
        </w:rPr>
        <w:t xml:space="preserve">Bâle 3 des règles pas si contraignantes !, </w:t>
      </w:r>
      <w:proofErr w:type="spellStart"/>
      <w:r>
        <w:rPr>
          <w:rStyle w:val="Lienhypertexte"/>
          <w:rFonts w:ascii="Arial" w:hAnsi="Arial" w:cs="Arial"/>
          <w:color w:val="000000" w:themeColor="text1"/>
          <w:sz w:val="20"/>
          <w:szCs w:val="20"/>
          <w:u w:val="none"/>
        </w:rPr>
        <w:t>Xerfi</w:t>
      </w:r>
      <w:proofErr w:type="spellEnd"/>
      <w:r>
        <w:rPr>
          <w:rStyle w:val="Lienhypertexte"/>
          <w:rFonts w:ascii="Arial" w:hAnsi="Arial" w:cs="Arial"/>
          <w:color w:val="000000" w:themeColor="text1"/>
          <w:sz w:val="20"/>
          <w:szCs w:val="20"/>
          <w:u w:val="none"/>
        </w:rPr>
        <w:t xml:space="preserve"> Canal, 17/10/2013 (Vidéo) : </w:t>
      </w:r>
      <w:hyperlink r:id="rId38" w:history="1">
        <w:r w:rsidRPr="003A03C5">
          <w:rPr>
            <w:rStyle w:val="Lienhypertexte"/>
            <w:rFonts w:ascii="Arial" w:hAnsi="Arial" w:cs="Arial"/>
            <w:sz w:val="20"/>
            <w:szCs w:val="20"/>
          </w:rPr>
          <w:t>https://www.youtube.com/watch?v=d9O0My4qyHE</w:t>
        </w:r>
      </w:hyperlink>
    </w:p>
    <w:p w:rsidR="00C91D21" w:rsidRDefault="00C91D21" w:rsidP="00697A97">
      <w:pPr>
        <w:spacing w:after="80" w:line="240" w:lineRule="auto"/>
        <w:rPr>
          <w:rStyle w:val="Lienhypertexte"/>
          <w:rFonts w:ascii="Arial" w:hAnsi="Arial" w:cs="Arial"/>
          <w:color w:val="000000" w:themeColor="text1"/>
          <w:sz w:val="20"/>
          <w:szCs w:val="20"/>
          <w:u w:val="none"/>
        </w:rPr>
      </w:pPr>
      <w:r>
        <w:rPr>
          <w:rStyle w:val="Lienhypertexte"/>
          <w:rFonts w:ascii="Arial" w:hAnsi="Arial" w:cs="Arial"/>
          <w:color w:val="000000" w:themeColor="text1"/>
          <w:sz w:val="20"/>
          <w:szCs w:val="20"/>
          <w:u w:val="none"/>
        </w:rPr>
        <w:t xml:space="preserve">Euronews et Trichet J-C., </w:t>
      </w:r>
      <w:r w:rsidRPr="00C91D21">
        <w:rPr>
          <w:rStyle w:val="Lienhypertexte"/>
          <w:rFonts w:ascii="Arial" w:hAnsi="Arial" w:cs="Arial"/>
          <w:i/>
          <w:color w:val="000000" w:themeColor="text1"/>
          <w:sz w:val="20"/>
          <w:szCs w:val="20"/>
          <w:u w:val="none"/>
        </w:rPr>
        <w:t>Impact de la politique monétaire de la BCE sur nos vies</w:t>
      </w:r>
      <w:r>
        <w:rPr>
          <w:rStyle w:val="Lienhypertexte"/>
          <w:rFonts w:ascii="Arial" w:hAnsi="Arial" w:cs="Arial"/>
          <w:color w:val="000000" w:themeColor="text1"/>
          <w:sz w:val="20"/>
          <w:szCs w:val="20"/>
          <w:u w:val="none"/>
        </w:rPr>
        <w:t xml:space="preserve">, Euronews 2013 (Vidéo) : </w:t>
      </w:r>
      <w:hyperlink r:id="rId39" w:history="1">
        <w:r w:rsidRPr="003A03C5">
          <w:rPr>
            <w:rStyle w:val="Lienhypertexte"/>
            <w:rFonts w:ascii="Arial" w:hAnsi="Arial" w:cs="Arial"/>
            <w:sz w:val="20"/>
            <w:szCs w:val="20"/>
          </w:rPr>
          <w:t>https://www.youtube.com/watch?v=9LcNr6cir-s</w:t>
        </w:r>
      </w:hyperlink>
    </w:p>
    <w:p w:rsidR="00B87187" w:rsidRDefault="00B87187" w:rsidP="00697A97">
      <w:pPr>
        <w:spacing w:after="80" w:line="240" w:lineRule="auto"/>
        <w:rPr>
          <w:rStyle w:val="Lienhypertexte"/>
          <w:rFonts w:ascii="Arial" w:hAnsi="Arial" w:cs="Arial"/>
          <w:color w:val="000000" w:themeColor="text1"/>
          <w:sz w:val="20"/>
          <w:szCs w:val="20"/>
          <w:u w:val="none"/>
        </w:rPr>
      </w:pPr>
      <w:r>
        <w:rPr>
          <w:rStyle w:val="Lienhypertexte"/>
          <w:rFonts w:ascii="Arial" w:hAnsi="Arial" w:cs="Arial"/>
          <w:color w:val="000000" w:themeColor="text1"/>
          <w:sz w:val="20"/>
          <w:szCs w:val="20"/>
          <w:u w:val="none"/>
        </w:rPr>
        <w:t xml:space="preserve">Fédération bancaire française (Vidéo) : </w:t>
      </w:r>
      <w:hyperlink r:id="rId40" w:history="1">
        <w:r w:rsidRPr="003A03C5">
          <w:rPr>
            <w:rStyle w:val="Lienhypertexte"/>
            <w:rFonts w:ascii="Arial" w:hAnsi="Arial" w:cs="Arial"/>
            <w:sz w:val="20"/>
            <w:szCs w:val="20"/>
          </w:rPr>
          <w:t>https://www.youtube.com/watch?v=51qeMWFvjko</w:t>
        </w:r>
      </w:hyperlink>
    </w:p>
    <w:p w:rsidR="0061345E" w:rsidRPr="00697A97" w:rsidRDefault="00B80FE4" w:rsidP="00697A97">
      <w:pPr>
        <w:spacing w:after="80" w:line="240" w:lineRule="auto"/>
        <w:rPr>
          <w:rFonts w:ascii="Arial" w:hAnsi="Arial" w:cs="Arial"/>
          <w:color w:val="000000"/>
          <w:sz w:val="20"/>
          <w:szCs w:val="20"/>
        </w:rPr>
      </w:pPr>
      <w:r w:rsidRPr="00697A97">
        <w:rPr>
          <w:rFonts w:ascii="Arial" w:hAnsi="Arial" w:cs="Arial"/>
          <w:sz w:val="20"/>
          <w:szCs w:val="20"/>
        </w:rPr>
        <w:t xml:space="preserve">ONG : </w:t>
      </w:r>
      <w:hyperlink r:id="rId41" w:history="1">
        <w:r w:rsidR="00D87EF8" w:rsidRPr="00A33AE3">
          <w:rPr>
            <w:rStyle w:val="Lienhypertexte"/>
            <w:rFonts w:ascii="Arial" w:hAnsi="Arial" w:cs="Arial"/>
            <w:sz w:val="20"/>
            <w:szCs w:val="20"/>
          </w:rPr>
          <w:t>http://www.finance-watch.org/fr</w:t>
        </w:r>
      </w:hyperlink>
      <w:r w:rsidRPr="00697A97">
        <w:rPr>
          <w:rFonts w:ascii="Arial" w:hAnsi="Arial" w:cs="Arial"/>
          <w:color w:val="000000"/>
          <w:sz w:val="20"/>
          <w:szCs w:val="20"/>
        </w:rPr>
        <w:t xml:space="preserve"> et  </w:t>
      </w:r>
      <w:hyperlink r:id="rId42" w:history="1">
        <w:r w:rsidRPr="00697A97">
          <w:rPr>
            <w:rStyle w:val="Lienhypertexte"/>
            <w:rFonts w:ascii="Arial" w:hAnsi="Arial" w:cs="Arial"/>
            <w:sz w:val="20"/>
            <w:szCs w:val="20"/>
          </w:rPr>
          <w:t>http://www.betterfinance.eu/</w:t>
        </w:r>
      </w:hyperlink>
    </w:p>
    <w:p w:rsidR="00A77CE5" w:rsidRPr="00697A97" w:rsidRDefault="00A77CE5" w:rsidP="00697A97">
      <w:pPr>
        <w:spacing w:after="80" w:line="240" w:lineRule="auto"/>
        <w:rPr>
          <w:rFonts w:ascii="Arial" w:hAnsi="Arial" w:cs="Arial"/>
          <w:sz w:val="20"/>
          <w:szCs w:val="20"/>
        </w:rPr>
      </w:pPr>
      <w:r w:rsidRPr="00697A97">
        <w:rPr>
          <w:rFonts w:ascii="Arial" w:hAnsi="Arial" w:cs="Arial"/>
          <w:sz w:val="20"/>
          <w:szCs w:val="20"/>
        </w:rPr>
        <w:t xml:space="preserve">Site de l’économie et de la monnaie : </w:t>
      </w:r>
      <w:hyperlink r:id="rId43" w:history="1">
        <w:r w:rsidRPr="00697A97">
          <w:rPr>
            <w:rStyle w:val="Lienhypertexte"/>
            <w:rFonts w:ascii="Arial" w:hAnsi="Arial" w:cs="Arial"/>
            <w:sz w:val="20"/>
            <w:szCs w:val="20"/>
          </w:rPr>
          <w:t>http://www.citeco.fr/</w:t>
        </w:r>
      </w:hyperlink>
    </w:p>
    <w:p w:rsidR="00B87187" w:rsidRDefault="00A77CE5" w:rsidP="00B87187">
      <w:pPr>
        <w:spacing w:after="80" w:line="240" w:lineRule="auto"/>
        <w:rPr>
          <w:rStyle w:val="Lienhypertexte"/>
          <w:rFonts w:ascii="Arial" w:hAnsi="Arial" w:cs="Arial"/>
          <w:color w:val="000000" w:themeColor="text1"/>
          <w:sz w:val="20"/>
          <w:szCs w:val="20"/>
          <w:u w:val="none"/>
        </w:rPr>
      </w:pPr>
      <w:r w:rsidRPr="00697A97">
        <w:rPr>
          <w:rFonts w:ascii="Arial" w:hAnsi="Arial" w:cs="Arial"/>
          <w:sz w:val="20"/>
          <w:szCs w:val="20"/>
        </w:rPr>
        <w:t xml:space="preserve">Rapport du CAE : </w:t>
      </w:r>
      <w:hyperlink r:id="rId44" w:history="1">
        <w:r w:rsidRPr="00697A97">
          <w:rPr>
            <w:rStyle w:val="Lienhypertexte"/>
            <w:rFonts w:ascii="Arial" w:hAnsi="Arial" w:cs="Arial"/>
            <w:sz w:val="20"/>
            <w:szCs w:val="20"/>
          </w:rPr>
          <w:t>http://www.cae-eco.fr/IMG/pdf/096.pdf</w:t>
        </w:r>
      </w:hyperlink>
      <w:r w:rsidR="00B87187" w:rsidRPr="00B87187">
        <w:rPr>
          <w:rStyle w:val="Lienhypertexte"/>
          <w:rFonts w:ascii="Arial" w:hAnsi="Arial" w:cs="Arial"/>
          <w:color w:val="000000" w:themeColor="text1"/>
          <w:sz w:val="20"/>
          <w:szCs w:val="20"/>
          <w:u w:val="none"/>
        </w:rPr>
        <w:t xml:space="preserve"> </w:t>
      </w:r>
    </w:p>
    <w:p w:rsidR="00B87187" w:rsidRDefault="00B87187" w:rsidP="00B87187">
      <w:pPr>
        <w:spacing w:after="80" w:line="240" w:lineRule="auto"/>
        <w:ind w:left="708" w:hanging="708"/>
        <w:rPr>
          <w:rStyle w:val="Lienhypertexte"/>
          <w:rFonts w:ascii="Arial" w:hAnsi="Arial" w:cs="Arial"/>
          <w:color w:val="000000" w:themeColor="text1"/>
          <w:sz w:val="20"/>
          <w:szCs w:val="20"/>
          <w:u w:val="none"/>
        </w:rPr>
      </w:pPr>
      <w:proofErr w:type="spellStart"/>
      <w:r>
        <w:rPr>
          <w:rStyle w:val="Lienhypertexte"/>
          <w:rFonts w:ascii="Arial" w:hAnsi="Arial" w:cs="Arial"/>
          <w:color w:val="000000" w:themeColor="text1"/>
          <w:sz w:val="20"/>
          <w:szCs w:val="20"/>
          <w:u w:val="none"/>
        </w:rPr>
        <w:t>Tirole</w:t>
      </w:r>
      <w:proofErr w:type="spellEnd"/>
      <w:r>
        <w:rPr>
          <w:rStyle w:val="Lienhypertexte"/>
          <w:rFonts w:ascii="Arial" w:hAnsi="Arial" w:cs="Arial"/>
          <w:color w:val="000000" w:themeColor="text1"/>
          <w:sz w:val="20"/>
          <w:szCs w:val="20"/>
          <w:u w:val="none"/>
        </w:rPr>
        <w:t xml:space="preserve"> J., </w:t>
      </w:r>
      <w:r w:rsidRPr="00B87187">
        <w:rPr>
          <w:rStyle w:val="Lienhypertexte"/>
          <w:rFonts w:ascii="Arial" w:hAnsi="Arial" w:cs="Arial"/>
          <w:i/>
          <w:color w:val="000000" w:themeColor="text1"/>
          <w:sz w:val="20"/>
          <w:szCs w:val="20"/>
          <w:u w:val="none"/>
        </w:rPr>
        <w:t xml:space="preserve">Surveillance financière et régulation </w:t>
      </w:r>
      <w:proofErr w:type="spellStart"/>
      <w:r w:rsidRPr="00B87187">
        <w:rPr>
          <w:rStyle w:val="Lienhypertexte"/>
          <w:rFonts w:ascii="Arial" w:hAnsi="Arial" w:cs="Arial"/>
          <w:i/>
          <w:color w:val="000000" w:themeColor="text1"/>
          <w:sz w:val="20"/>
          <w:szCs w:val="20"/>
          <w:u w:val="none"/>
        </w:rPr>
        <w:t>macro-prudentielle</w:t>
      </w:r>
      <w:proofErr w:type="spellEnd"/>
      <w:r w:rsidRPr="00B87187">
        <w:rPr>
          <w:rStyle w:val="Lienhypertexte"/>
          <w:rFonts w:ascii="Arial" w:hAnsi="Arial" w:cs="Arial"/>
          <w:i/>
          <w:color w:val="000000" w:themeColor="text1"/>
          <w:sz w:val="20"/>
          <w:szCs w:val="20"/>
          <w:u w:val="none"/>
        </w:rPr>
        <w:t xml:space="preserve"> : qu'</w:t>
      </w:r>
      <w:proofErr w:type="spellStart"/>
      <w:r w:rsidRPr="00B87187">
        <w:rPr>
          <w:rStyle w:val="Lienhypertexte"/>
          <w:rFonts w:ascii="Arial" w:hAnsi="Arial" w:cs="Arial"/>
          <w:i/>
          <w:color w:val="000000" w:themeColor="text1"/>
          <w:sz w:val="20"/>
          <w:szCs w:val="20"/>
          <w:u w:val="none"/>
        </w:rPr>
        <w:t>a t</w:t>
      </w:r>
      <w:proofErr w:type="spellEnd"/>
      <w:r w:rsidRPr="00B87187">
        <w:rPr>
          <w:rStyle w:val="Lienhypertexte"/>
          <w:rFonts w:ascii="Arial" w:hAnsi="Arial" w:cs="Arial"/>
          <w:i/>
          <w:color w:val="000000" w:themeColor="text1"/>
          <w:sz w:val="20"/>
          <w:szCs w:val="20"/>
          <w:u w:val="none"/>
        </w:rPr>
        <w:t>-on appris de la crise ?,</w:t>
      </w:r>
      <w:r>
        <w:rPr>
          <w:rStyle w:val="Lienhypertexte"/>
          <w:rFonts w:ascii="Arial" w:hAnsi="Arial" w:cs="Arial"/>
          <w:color w:val="000000" w:themeColor="text1"/>
          <w:sz w:val="20"/>
          <w:szCs w:val="20"/>
          <w:u w:val="none"/>
        </w:rPr>
        <w:t xml:space="preserve"> Conféren</w:t>
      </w:r>
      <w:r w:rsidR="000544AB">
        <w:rPr>
          <w:rStyle w:val="Lienhypertexte"/>
          <w:rFonts w:ascii="Arial" w:hAnsi="Arial" w:cs="Arial"/>
          <w:color w:val="000000" w:themeColor="text1"/>
          <w:sz w:val="20"/>
          <w:szCs w:val="20"/>
          <w:u w:val="none"/>
        </w:rPr>
        <w:t>c</w:t>
      </w:r>
      <w:r>
        <w:rPr>
          <w:rStyle w:val="Lienhypertexte"/>
          <w:rFonts w:ascii="Arial" w:hAnsi="Arial" w:cs="Arial"/>
          <w:color w:val="000000" w:themeColor="text1"/>
          <w:sz w:val="20"/>
          <w:szCs w:val="20"/>
          <w:u w:val="none"/>
        </w:rPr>
        <w:t>e à l’Université de Lausanne, 30/05/2013</w:t>
      </w:r>
      <w:r w:rsidR="000544AB">
        <w:rPr>
          <w:rStyle w:val="Lienhypertexte"/>
          <w:rFonts w:ascii="Arial" w:hAnsi="Arial" w:cs="Arial"/>
          <w:color w:val="000000" w:themeColor="text1"/>
          <w:sz w:val="20"/>
          <w:szCs w:val="20"/>
          <w:u w:val="none"/>
        </w:rPr>
        <w:t xml:space="preserve"> (Vidéo)</w:t>
      </w:r>
      <w:r>
        <w:rPr>
          <w:rStyle w:val="Lienhypertexte"/>
          <w:rFonts w:ascii="Arial" w:hAnsi="Arial" w:cs="Arial"/>
          <w:color w:val="000000" w:themeColor="text1"/>
          <w:sz w:val="20"/>
          <w:szCs w:val="20"/>
          <w:u w:val="none"/>
        </w:rPr>
        <w:t xml:space="preserve"> : </w:t>
      </w:r>
      <w:hyperlink r:id="rId45" w:history="1">
        <w:r w:rsidRPr="003A03C5">
          <w:rPr>
            <w:rStyle w:val="Lienhypertexte"/>
            <w:rFonts w:ascii="Arial" w:hAnsi="Arial" w:cs="Arial"/>
            <w:sz w:val="20"/>
            <w:szCs w:val="20"/>
          </w:rPr>
          <w:t>https://www.youtube.com/watch?v=LBpU0RcGPvo</w:t>
        </w:r>
      </w:hyperlink>
    </w:p>
    <w:p w:rsidR="00A77CE5" w:rsidRPr="00B87187" w:rsidRDefault="00B87187" w:rsidP="00697A97">
      <w:pPr>
        <w:spacing w:after="80" w:line="240" w:lineRule="auto"/>
        <w:rPr>
          <w:rFonts w:ascii="Arial" w:hAnsi="Arial" w:cs="Arial"/>
          <w:color w:val="000000" w:themeColor="text1"/>
          <w:sz w:val="20"/>
          <w:szCs w:val="20"/>
        </w:rPr>
      </w:pPr>
      <w:r>
        <w:rPr>
          <w:rStyle w:val="Lienhypertexte"/>
          <w:rFonts w:ascii="Arial" w:hAnsi="Arial" w:cs="Arial"/>
          <w:color w:val="000000" w:themeColor="text1"/>
          <w:sz w:val="20"/>
          <w:szCs w:val="20"/>
          <w:u w:val="none"/>
        </w:rPr>
        <w:t xml:space="preserve">Trichet Jean-Claude sur France inter le 02/10/16 : </w:t>
      </w:r>
      <w:hyperlink r:id="rId46" w:history="1">
        <w:r w:rsidRPr="003A03C5">
          <w:rPr>
            <w:rStyle w:val="Lienhypertexte"/>
            <w:rFonts w:ascii="Arial" w:hAnsi="Arial" w:cs="Arial"/>
            <w:sz w:val="20"/>
            <w:szCs w:val="20"/>
          </w:rPr>
          <w:t>https://www.franceinter.fr/emissions/questions-politiques/questions-politiques-02-octobre-2016</w:t>
        </w:r>
      </w:hyperlink>
    </w:p>
    <w:p w:rsidR="00B80FE4" w:rsidRPr="00697A97" w:rsidRDefault="00A77CE5" w:rsidP="00697A97">
      <w:pPr>
        <w:spacing w:after="80" w:line="240" w:lineRule="auto"/>
        <w:rPr>
          <w:rFonts w:ascii="Arial" w:hAnsi="Arial" w:cs="Arial"/>
          <w:sz w:val="20"/>
          <w:szCs w:val="20"/>
        </w:rPr>
      </w:pPr>
      <w:r w:rsidRPr="00697A97">
        <w:rPr>
          <w:rFonts w:ascii="Arial" w:hAnsi="Arial" w:cs="Arial"/>
          <w:sz w:val="20"/>
          <w:szCs w:val="20"/>
        </w:rPr>
        <w:t xml:space="preserve">Vie publique : </w:t>
      </w:r>
      <w:hyperlink r:id="rId47" w:history="1">
        <w:r w:rsidRPr="00697A97">
          <w:rPr>
            <w:rStyle w:val="Lienhypertexte"/>
            <w:rFonts w:ascii="Arial" w:hAnsi="Arial" w:cs="Arial"/>
            <w:sz w:val="20"/>
            <w:szCs w:val="20"/>
          </w:rPr>
          <w:t>http://www.vie-publique.fr/decouverte-institutions/union-europeenne/action/euro/qu-est-ce-que-euro.html</w:t>
        </w:r>
      </w:hyperlink>
    </w:p>
    <w:sectPr w:rsidR="00B80FE4" w:rsidRPr="00697A97" w:rsidSect="00FD6EA5">
      <w:pgSz w:w="11906" w:h="16838" w:code="9"/>
      <w:pgMar w:top="851" w:right="992" w:bottom="851" w:left="1418" w:header="709"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047" w:rsidRDefault="00A30047" w:rsidP="00CB4656">
      <w:pPr>
        <w:spacing w:after="0" w:line="240" w:lineRule="auto"/>
      </w:pPr>
      <w:r>
        <w:separator/>
      </w:r>
    </w:p>
  </w:endnote>
  <w:endnote w:type="continuationSeparator" w:id="0">
    <w:p w:rsidR="00A30047" w:rsidRDefault="00A30047" w:rsidP="00CB4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E63" w:rsidRDefault="000C7E6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31002"/>
      <w:docPartObj>
        <w:docPartGallery w:val="Page Numbers (Bottom of Page)"/>
        <w:docPartUnique/>
      </w:docPartObj>
    </w:sdtPr>
    <w:sdtEndPr/>
    <w:sdtContent>
      <w:p w:rsidR="00CB4656" w:rsidRDefault="00CB4656">
        <w:pPr>
          <w:pStyle w:val="Pieddepage"/>
          <w:jc w:val="right"/>
        </w:pPr>
        <w:r>
          <w:fldChar w:fldCharType="begin"/>
        </w:r>
        <w:r>
          <w:instrText>PAGE   \* MERGEFORMAT</w:instrText>
        </w:r>
        <w:r>
          <w:fldChar w:fldCharType="separate"/>
        </w:r>
        <w:r w:rsidR="00BA010E">
          <w:rPr>
            <w:noProof/>
          </w:rPr>
          <w:t>1</w:t>
        </w:r>
        <w:r>
          <w:fldChar w:fldCharType="end"/>
        </w:r>
      </w:p>
    </w:sdtContent>
  </w:sdt>
  <w:p w:rsidR="00CB4656" w:rsidRDefault="00CB465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E63" w:rsidRDefault="000C7E6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047" w:rsidRDefault="00A30047" w:rsidP="00CB4656">
      <w:pPr>
        <w:spacing w:after="0" w:line="240" w:lineRule="auto"/>
      </w:pPr>
      <w:r>
        <w:separator/>
      </w:r>
    </w:p>
  </w:footnote>
  <w:footnote w:type="continuationSeparator" w:id="0">
    <w:p w:rsidR="00A30047" w:rsidRDefault="00A30047" w:rsidP="00CB4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E63" w:rsidRDefault="000C7E6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E63" w:rsidRDefault="000C7E6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E63" w:rsidRDefault="000C7E6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0ECB9F0"/>
    <w:lvl w:ilvl="0">
      <w:start w:val="1"/>
      <w:numFmt w:val="bullet"/>
      <w:pStyle w:val="Listepuces"/>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535"/>
    <w:rsid w:val="00016BE5"/>
    <w:rsid w:val="0003696B"/>
    <w:rsid w:val="000544AB"/>
    <w:rsid w:val="00070559"/>
    <w:rsid w:val="00070FE8"/>
    <w:rsid w:val="0007141A"/>
    <w:rsid w:val="00072D05"/>
    <w:rsid w:val="000954EA"/>
    <w:rsid w:val="000C7E63"/>
    <w:rsid w:val="000D0301"/>
    <w:rsid w:val="001277BD"/>
    <w:rsid w:val="0014159C"/>
    <w:rsid w:val="00162F48"/>
    <w:rsid w:val="001655A8"/>
    <w:rsid w:val="0018014E"/>
    <w:rsid w:val="001A212A"/>
    <w:rsid w:val="001B2149"/>
    <w:rsid w:val="001B6294"/>
    <w:rsid w:val="001C0A41"/>
    <w:rsid w:val="001D0525"/>
    <w:rsid w:val="001D5C0D"/>
    <w:rsid w:val="001D6BDA"/>
    <w:rsid w:val="001D7CEC"/>
    <w:rsid w:val="001E234E"/>
    <w:rsid w:val="001F28D0"/>
    <w:rsid w:val="0021467F"/>
    <w:rsid w:val="00230C7F"/>
    <w:rsid w:val="00253637"/>
    <w:rsid w:val="002A1772"/>
    <w:rsid w:val="002A7C48"/>
    <w:rsid w:val="002C5CC3"/>
    <w:rsid w:val="002C621D"/>
    <w:rsid w:val="00300839"/>
    <w:rsid w:val="003204F4"/>
    <w:rsid w:val="00346B5C"/>
    <w:rsid w:val="00386D84"/>
    <w:rsid w:val="00395124"/>
    <w:rsid w:val="003A69A9"/>
    <w:rsid w:val="004162D7"/>
    <w:rsid w:val="004265B7"/>
    <w:rsid w:val="0045072F"/>
    <w:rsid w:val="0048179F"/>
    <w:rsid w:val="004D213A"/>
    <w:rsid w:val="004F29C7"/>
    <w:rsid w:val="004F5F20"/>
    <w:rsid w:val="00502FA8"/>
    <w:rsid w:val="00584137"/>
    <w:rsid w:val="00592FF5"/>
    <w:rsid w:val="0061345E"/>
    <w:rsid w:val="006436FB"/>
    <w:rsid w:val="0065233D"/>
    <w:rsid w:val="00662F2C"/>
    <w:rsid w:val="00674031"/>
    <w:rsid w:val="0067763D"/>
    <w:rsid w:val="0068251D"/>
    <w:rsid w:val="0069508E"/>
    <w:rsid w:val="00695535"/>
    <w:rsid w:val="00697A97"/>
    <w:rsid w:val="006D7AB6"/>
    <w:rsid w:val="006F1921"/>
    <w:rsid w:val="006F2A3F"/>
    <w:rsid w:val="007315B8"/>
    <w:rsid w:val="00757659"/>
    <w:rsid w:val="00762E75"/>
    <w:rsid w:val="007A6132"/>
    <w:rsid w:val="007C5293"/>
    <w:rsid w:val="007E34DD"/>
    <w:rsid w:val="008257D5"/>
    <w:rsid w:val="008443C7"/>
    <w:rsid w:val="0084774F"/>
    <w:rsid w:val="0085381F"/>
    <w:rsid w:val="008642DD"/>
    <w:rsid w:val="00877D50"/>
    <w:rsid w:val="00891AFC"/>
    <w:rsid w:val="00893E5D"/>
    <w:rsid w:val="00894166"/>
    <w:rsid w:val="008943A8"/>
    <w:rsid w:val="008C28C7"/>
    <w:rsid w:val="008D1C54"/>
    <w:rsid w:val="008F2E30"/>
    <w:rsid w:val="008F31C4"/>
    <w:rsid w:val="00930C2C"/>
    <w:rsid w:val="00931140"/>
    <w:rsid w:val="00937FFC"/>
    <w:rsid w:val="00956977"/>
    <w:rsid w:val="00961236"/>
    <w:rsid w:val="00973A81"/>
    <w:rsid w:val="009C51C0"/>
    <w:rsid w:val="009F627C"/>
    <w:rsid w:val="00A11511"/>
    <w:rsid w:val="00A30047"/>
    <w:rsid w:val="00A32E97"/>
    <w:rsid w:val="00A77CE5"/>
    <w:rsid w:val="00AA43B6"/>
    <w:rsid w:val="00AC042E"/>
    <w:rsid w:val="00AE2EB4"/>
    <w:rsid w:val="00AE565E"/>
    <w:rsid w:val="00AF5311"/>
    <w:rsid w:val="00B2654D"/>
    <w:rsid w:val="00B2798C"/>
    <w:rsid w:val="00B57DA6"/>
    <w:rsid w:val="00B6063A"/>
    <w:rsid w:val="00B71208"/>
    <w:rsid w:val="00B77259"/>
    <w:rsid w:val="00B80FE4"/>
    <w:rsid w:val="00B87187"/>
    <w:rsid w:val="00B9763B"/>
    <w:rsid w:val="00BA010E"/>
    <w:rsid w:val="00BD0ABF"/>
    <w:rsid w:val="00BF6032"/>
    <w:rsid w:val="00C51691"/>
    <w:rsid w:val="00C569B7"/>
    <w:rsid w:val="00C57FC5"/>
    <w:rsid w:val="00C91D21"/>
    <w:rsid w:val="00C92567"/>
    <w:rsid w:val="00C92942"/>
    <w:rsid w:val="00C92F6E"/>
    <w:rsid w:val="00CB4656"/>
    <w:rsid w:val="00CC40D2"/>
    <w:rsid w:val="00D01068"/>
    <w:rsid w:val="00D033E1"/>
    <w:rsid w:val="00D24502"/>
    <w:rsid w:val="00D2555F"/>
    <w:rsid w:val="00D35216"/>
    <w:rsid w:val="00D62341"/>
    <w:rsid w:val="00D6241E"/>
    <w:rsid w:val="00D724C2"/>
    <w:rsid w:val="00D82D65"/>
    <w:rsid w:val="00D83B63"/>
    <w:rsid w:val="00D84315"/>
    <w:rsid w:val="00D87EF8"/>
    <w:rsid w:val="00D91216"/>
    <w:rsid w:val="00DA5BCA"/>
    <w:rsid w:val="00DB79BA"/>
    <w:rsid w:val="00E22C25"/>
    <w:rsid w:val="00E22FC9"/>
    <w:rsid w:val="00E3536D"/>
    <w:rsid w:val="00E375B2"/>
    <w:rsid w:val="00E5584E"/>
    <w:rsid w:val="00E737B9"/>
    <w:rsid w:val="00E91ECA"/>
    <w:rsid w:val="00EA5DC4"/>
    <w:rsid w:val="00EB2BAA"/>
    <w:rsid w:val="00EC55CE"/>
    <w:rsid w:val="00ED785F"/>
    <w:rsid w:val="00EF2860"/>
    <w:rsid w:val="00F178FC"/>
    <w:rsid w:val="00F307DB"/>
    <w:rsid w:val="00F31C45"/>
    <w:rsid w:val="00F531DF"/>
    <w:rsid w:val="00F55F27"/>
    <w:rsid w:val="00F606D1"/>
    <w:rsid w:val="00F700BA"/>
    <w:rsid w:val="00F91C72"/>
    <w:rsid w:val="00F95F66"/>
    <w:rsid w:val="00FB124B"/>
    <w:rsid w:val="00FC475F"/>
    <w:rsid w:val="00FD5931"/>
    <w:rsid w:val="00FD6E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F8E184-C0F1-453A-8DC9-B92B055F6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7141A"/>
  </w:style>
  <w:style w:type="paragraph" w:styleId="Titre1">
    <w:name w:val="heading 1"/>
    <w:basedOn w:val="Normal"/>
    <w:next w:val="Normal"/>
    <w:link w:val="Titre1Car"/>
    <w:uiPriority w:val="9"/>
    <w:qFormat/>
    <w:rsid w:val="00FD6EA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955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5535"/>
    <w:rPr>
      <w:rFonts w:ascii="Tahoma" w:hAnsi="Tahoma" w:cs="Tahoma"/>
      <w:sz w:val="16"/>
      <w:szCs w:val="16"/>
    </w:rPr>
  </w:style>
  <w:style w:type="table" w:styleId="Grilledutableau">
    <w:name w:val="Table Grid"/>
    <w:basedOn w:val="TableauNormal"/>
    <w:uiPriority w:val="59"/>
    <w:rsid w:val="00EB2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tre2">
    <w:name w:val="stitre2"/>
    <w:basedOn w:val="Policepardfaut"/>
    <w:rsid w:val="008642DD"/>
  </w:style>
  <w:style w:type="character" w:customStyle="1" w:styleId="stitre3">
    <w:name w:val="stitre3"/>
    <w:basedOn w:val="Policepardfaut"/>
    <w:rsid w:val="008642DD"/>
  </w:style>
  <w:style w:type="character" w:customStyle="1" w:styleId="apple-converted-space">
    <w:name w:val="apple-converted-space"/>
    <w:basedOn w:val="Policepardfaut"/>
    <w:rsid w:val="008642DD"/>
  </w:style>
  <w:style w:type="character" w:customStyle="1" w:styleId="stitre">
    <w:name w:val="stitre"/>
    <w:basedOn w:val="Policepardfaut"/>
    <w:rsid w:val="008642DD"/>
  </w:style>
  <w:style w:type="character" w:customStyle="1" w:styleId="stitre1">
    <w:name w:val="stitre1"/>
    <w:basedOn w:val="Policepardfaut"/>
    <w:rsid w:val="008642DD"/>
  </w:style>
  <w:style w:type="character" w:styleId="lev">
    <w:name w:val="Strong"/>
    <w:basedOn w:val="Policepardfaut"/>
    <w:uiPriority w:val="22"/>
    <w:qFormat/>
    <w:rsid w:val="008642DD"/>
    <w:rPr>
      <w:b/>
      <w:bCs/>
    </w:rPr>
  </w:style>
  <w:style w:type="paragraph" w:customStyle="1" w:styleId="Style">
    <w:name w:val="Style"/>
    <w:rsid w:val="00CC40D2"/>
    <w:pPr>
      <w:widowControl w:val="0"/>
      <w:autoSpaceDE w:val="0"/>
      <w:autoSpaceDN w:val="0"/>
      <w:adjustRightInd w:val="0"/>
      <w:spacing w:after="0" w:line="240" w:lineRule="auto"/>
    </w:pPr>
    <w:rPr>
      <w:rFonts w:ascii="Arial" w:eastAsiaTheme="minorEastAsia" w:hAnsi="Arial" w:cs="Arial"/>
      <w:sz w:val="24"/>
      <w:szCs w:val="24"/>
      <w:lang w:eastAsia="fr-FR"/>
    </w:rPr>
  </w:style>
  <w:style w:type="paragraph" w:styleId="Listepuces">
    <w:name w:val="List Bullet"/>
    <w:basedOn w:val="Normal"/>
    <w:uiPriority w:val="99"/>
    <w:unhideWhenUsed/>
    <w:rsid w:val="00C569B7"/>
    <w:pPr>
      <w:numPr>
        <w:numId w:val="1"/>
      </w:numPr>
      <w:contextualSpacing/>
    </w:pPr>
  </w:style>
  <w:style w:type="character" w:styleId="Lienhypertexte">
    <w:name w:val="Hyperlink"/>
    <w:basedOn w:val="Policepardfaut"/>
    <w:uiPriority w:val="99"/>
    <w:unhideWhenUsed/>
    <w:rsid w:val="00B6063A"/>
    <w:rPr>
      <w:color w:val="0000FF" w:themeColor="hyperlink"/>
      <w:u w:val="single"/>
    </w:rPr>
  </w:style>
  <w:style w:type="character" w:styleId="Lienhypertextesuivivisit">
    <w:name w:val="FollowedHyperlink"/>
    <w:basedOn w:val="Policepardfaut"/>
    <w:uiPriority w:val="99"/>
    <w:semiHidden/>
    <w:unhideWhenUsed/>
    <w:rsid w:val="00B80FE4"/>
    <w:rPr>
      <w:color w:val="800080" w:themeColor="followedHyperlink"/>
      <w:u w:val="single"/>
    </w:rPr>
  </w:style>
  <w:style w:type="paragraph" w:styleId="En-tte">
    <w:name w:val="header"/>
    <w:basedOn w:val="Normal"/>
    <w:link w:val="En-tteCar"/>
    <w:uiPriority w:val="99"/>
    <w:unhideWhenUsed/>
    <w:rsid w:val="00CB4656"/>
    <w:pPr>
      <w:tabs>
        <w:tab w:val="center" w:pos="4536"/>
        <w:tab w:val="right" w:pos="9072"/>
      </w:tabs>
      <w:spacing w:after="0" w:line="240" w:lineRule="auto"/>
    </w:pPr>
  </w:style>
  <w:style w:type="character" w:customStyle="1" w:styleId="En-tteCar">
    <w:name w:val="En-tête Car"/>
    <w:basedOn w:val="Policepardfaut"/>
    <w:link w:val="En-tte"/>
    <w:uiPriority w:val="99"/>
    <w:rsid w:val="00CB4656"/>
  </w:style>
  <w:style w:type="paragraph" w:styleId="Pieddepage">
    <w:name w:val="footer"/>
    <w:basedOn w:val="Normal"/>
    <w:link w:val="PieddepageCar"/>
    <w:uiPriority w:val="99"/>
    <w:unhideWhenUsed/>
    <w:rsid w:val="00CB46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4656"/>
  </w:style>
  <w:style w:type="character" w:customStyle="1" w:styleId="Titre1Car">
    <w:name w:val="Titre 1 Car"/>
    <w:basedOn w:val="Policepardfaut"/>
    <w:link w:val="Titre1"/>
    <w:uiPriority w:val="9"/>
    <w:rsid w:val="00FD6EA5"/>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FD6EA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9" Type="http://schemas.openxmlformats.org/officeDocument/2006/relationships/hyperlink" Target="https://www.youtube.com/watch?v=9LcNr6cir-s" TargetMode="External"/><Relationship Id="rId21" Type="http://schemas.openxmlformats.org/officeDocument/2006/relationships/chart" Target="charts/chart1.xml"/><Relationship Id="rId34" Type="http://schemas.openxmlformats.org/officeDocument/2006/relationships/hyperlink" Target="https://www.banque-france.fr/fileadmin/user_upload/banque_de_france/publications/l_eco_en_bref/l-eco-en-bref-la-politique-monetaire.pdf" TargetMode="External"/><Relationship Id="rId42" Type="http://schemas.openxmlformats.org/officeDocument/2006/relationships/hyperlink" Target="http://www.betterfinance.eu/" TargetMode="External"/><Relationship Id="rId47" Type="http://schemas.openxmlformats.org/officeDocument/2006/relationships/hyperlink" Target="http://www.vie-publique.fr/decouverte-institutions/union-europeenne/action/euro/qu-est-ce-que-euro.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2.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hyperlink" Target="http://www.ecb.europa.eu" TargetMode="External"/><Relationship Id="rId37" Type="http://schemas.openxmlformats.org/officeDocument/2006/relationships/hyperlink" Target="https://www.youtube.com/watch?v=BXNlJYwy-p4" TargetMode="External"/><Relationship Id="rId40" Type="http://schemas.openxmlformats.org/officeDocument/2006/relationships/hyperlink" Target="https://www.youtube.com/watch?v=51qeMWFvjko" TargetMode="External"/><Relationship Id="rId45" Type="http://schemas.openxmlformats.org/officeDocument/2006/relationships/hyperlink" Target="https://www.youtube.com/watch?v=LBpU0RcGPvo"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footer" Target="footer1.xml"/><Relationship Id="rId36" Type="http://schemas.openxmlformats.org/officeDocument/2006/relationships/hyperlink" Target="https://www.youtube.com/watch?v=cTN6MDn1aVg"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banque-france.fr" TargetMode="External"/><Relationship Id="rId31" Type="http://schemas.openxmlformats.org/officeDocument/2006/relationships/footer" Target="footer3.xml"/><Relationship Id="rId44" Type="http://schemas.openxmlformats.org/officeDocument/2006/relationships/hyperlink" Target="http://www.cae-eco.fr/IMG/pdf/096.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s://bernardcherlonneix.wordpress.com/" TargetMode="External"/><Relationship Id="rId43" Type="http://schemas.openxmlformats.org/officeDocument/2006/relationships/hyperlink" Target="http://www.citeco.fr/"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jpg"/><Relationship Id="rId33" Type="http://schemas.openxmlformats.org/officeDocument/2006/relationships/hyperlink" Target="http://www.banque-france.fr" TargetMode="External"/><Relationship Id="rId38" Type="http://schemas.openxmlformats.org/officeDocument/2006/relationships/hyperlink" Target="https://www.youtube.com/watch?v=d9O0My4qyHE" TargetMode="External"/><Relationship Id="rId46" Type="http://schemas.openxmlformats.org/officeDocument/2006/relationships/hyperlink" Target="https://www.franceinter.fr/emissions/questions-politiques/questions-politiques-02-octobre-2016" TargetMode="External"/><Relationship Id="rId20" Type="http://schemas.openxmlformats.org/officeDocument/2006/relationships/image" Target="media/image12.png"/><Relationship Id="rId41" Type="http://schemas.openxmlformats.org/officeDocument/2006/relationships/hyperlink" Target="http://www.finance-watch.org/fr"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SES\Downloads\mh.m.ec.credit.3.r.1b.to.t.m.x.b.x.csv"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'page3_quot (1)'!$B$8</c:f>
              <c:strCache>
                <c:ptCount val="1"/>
                <c:pt idx="0">
                  <c:v>PC</c:v>
                </c:pt>
              </c:strCache>
            </c:strRef>
          </c:tx>
          <c:spPr>
            <a:ln w="15875"/>
          </c:spPr>
          <c:marker>
            <c:symbol val="none"/>
          </c:marker>
          <c:cat>
            <c:numRef>
              <c:f>'page3_quot (1)'!$A$9:$A$4544</c:f>
              <c:numCache>
                <c:formatCode>m/d/yyyy</c:formatCode>
                <c:ptCount val="4536"/>
                <c:pt idx="0">
                  <c:v>36164</c:v>
                </c:pt>
                <c:pt idx="1">
                  <c:v>36165</c:v>
                </c:pt>
                <c:pt idx="2">
                  <c:v>36166</c:v>
                </c:pt>
                <c:pt idx="3">
                  <c:v>36167</c:v>
                </c:pt>
                <c:pt idx="4">
                  <c:v>36168</c:v>
                </c:pt>
                <c:pt idx="5">
                  <c:v>36171</c:v>
                </c:pt>
                <c:pt idx="6">
                  <c:v>36172</c:v>
                </c:pt>
                <c:pt idx="7">
                  <c:v>36173</c:v>
                </c:pt>
                <c:pt idx="8">
                  <c:v>36174</c:v>
                </c:pt>
                <c:pt idx="9">
                  <c:v>36175</c:v>
                </c:pt>
                <c:pt idx="10">
                  <c:v>36178</c:v>
                </c:pt>
                <c:pt idx="11">
                  <c:v>36179</c:v>
                </c:pt>
                <c:pt idx="12">
                  <c:v>36180</c:v>
                </c:pt>
                <c:pt idx="13">
                  <c:v>36181</c:v>
                </c:pt>
                <c:pt idx="14">
                  <c:v>36182</c:v>
                </c:pt>
                <c:pt idx="15">
                  <c:v>36185</c:v>
                </c:pt>
                <c:pt idx="16">
                  <c:v>36186</c:v>
                </c:pt>
                <c:pt idx="17">
                  <c:v>36187</c:v>
                </c:pt>
                <c:pt idx="18">
                  <c:v>36188</c:v>
                </c:pt>
                <c:pt idx="19">
                  <c:v>36189</c:v>
                </c:pt>
                <c:pt idx="20">
                  <c:v>36192</c:v>
                </c:pt>
                <c:pt idx="21">
                  <c:v>36193</c:v>
                </c:pt>
                <c:pt idx="22">
                  <c:v>36194</c:v>
                </c:pt>
                <c:pt idx="23">
                  <c:v>36195</c:v>
                </c:pt>
                <c:pt idx="24">
                  <c:v>36196</c:v>
                </c:pt>
                <c:pt idx="25">
                  <c:v>36199</c:v>
                </c:pt>
                <c:pt idx="26">
                  <c:v>36200</c:v>
                </c:pt>
                <c:pt idx="27">
                  <c:v>36201</c:v>
                </c:pt>
                <c:pt idx="28">
                  <c:v>36202</c:v>
                </c:pt>
                <c:pt idx="29">
                  <c:v>36203</c:v>
                </c:pt>
                <c:pt idx="30">
                  <c:v>36206</c:v>
                </c:pt>
                <c:pt idx="31">
                  <c:v>36207</c:v>
                </c:pt>
                <c:pt idx="32">
                  <c:v>36208</c:v>
                </c:pt>
                <c:pt idx="33">
                  <c:v>36209</c:v>
                </c:pt>
                <c:pt idx="34">
                  <c:v>36210</c:v>
                </c:pt>
                <c:pt idx="35">
                  <c:v>36213</c:v>
                </c:pt>
                <c:pt idx="36">
                  <c:v>36214</c:v>
                </c:pt>
                <c:pt idx="37">
                  <c:v>36215</c:v>
                </c:pt>
                <c:pt idx="38">
                  <c:v>36216</c:v>
                </c:pt>
                <c:pt idx="39">
                  <c:v>36217</c:v>
                </c:pt>
                <c:pt idx="40">
                  <c:v>36220</c:v>
                </c:pt>
                <c:pt idx="41">
                  <c:v>36221</c:v>
                </c:pt>
                <c:pt idx="42">
                  <c:v>36222</c:v>
                </c:pt>
                <c:pt idx="43">
                  <c:v>36223</c:v>
                </c:pt>
                <c:pt idx="44">
                  <c:v>36224</c:v>
                </c:pt>
                <c:pt idx="45">
                  <c:v>36227</c:v>
                </c:pt>
                <c:pt idx="46">
                  <c:v>36228</c:v>
                </c:pt>
                <c:pt idx="47">
                  <c:v>36229</c:v>
                </c:pt>
                <c:pt idx="48">
                  <c:v>36230</c:v>
                </c:pt>
                <c:pt idx="49">
                  <c:v>36231</c:v>
                </c:pt>
                <c:pt idx="50">
                  <c:v>36234</c:v>
                </c:pt>
                <c:pt idx="51">
                  <c:v>36235</c:v>
                </c:pt>
                <c:pt idx="52">
                  <c:v>36236</c:v>
                </c:pt>
                <c:pt idx="53">
                  <c:v>36237</c:v>
                </c:pt>
                <c:pt idx="54">
                  <c:v>36238</c:v>
                </c:pt>
                <c:pt idx="55">
                  <c:v>36241</c:v>
                </c:pt>
                <c:pt idx="56">
                  <c:v>36242</c:v>
                </c:pt>
                <c:pt idx="57">
                  <c:v>36243</c:v>
                </c:pt>
                <c:pt idx="58">
                  <c:v>36244</c:v>
                </c:pt>
                <c:pt idx="59">
                  <c:v>36245</c:v>
                </c:pt>
                <c:pt idx="60">
                  <c:v>36248</c:v>
                </c:pt>
                <c:pt idx="61">
                  <c:v>36249</c:v>
                </c:pt>
                <c:pt idx="62">
                  <c:v>36250</c:v>
                </c:pt>
                <c:pt idx="63">
                  <c:v>36251</c:v>
                </c:pt>
                <c:pt idx="64">
                  <c:v>36252</c:v>
                </c:pt>
                <c:pt idx="65">
                  <c:v>36255</c:v>
                </c:pt>
                <c:pt idx="66">
                  <c:v>36256</c:v>
                </c:pt>
                <c:pt idx="67">
                  <c:v>36257</c:v>
                </c:pt>
                <c:pt idx="68">
                  <c:v>36258</c:v>
                </c:pt>
                <c:pt idx="69">
                  <c:v>36259</c:v>
                </c:pt>
                <c:pt idx="70">
                  <c:v>36262</c:v>
                </c:pt>
                <c:pt idx="71">
                  <c:v>36263</c:v>
                </c:pt>
                <c:pt idx="72">
                  <c:v>36264</c:v>
                </c:pt>
                <c:pt idx="73">
                  <c:v>36265</c:v>
                </c:pt>
                <c:pt idx="74">
                  <c:v>36266</c:v>
                </c:pt>
                <c:pt idx="75">
                  <c:v>36269</c:v>
                </c:pt>
                <c:pt idx="76">
                  <c:v>36270</c:v>
                </c:pt>
                <c:pt idx="77">
                  <c:v>36271</c:v>
                </c:pt>
                <c:pt idx="78">
                  <c:v>36272</c:v>
                </c:pt>
                <c:pt idx="79">
                  <c:v>36273</c:v>
                </c:pt>
                <c:pt idx="80">
                  <c:v>36276</c:v>
                </c:pt>
                <c:pt idx="81">
                  <c:v>36277</c:v>
                </c:pt>
                <c:pt idx="82">
                  <c:v>36278</c:v>
                </c:pt>
                <c:pt idx="83">
                  <c:v>36279</c:v>
                </c:pt>
                <c:pt idx="84">
                  <c:v>36280</c:v>
                </c:pt>
                <c:pt idx="85">
                  <c:v>36283</c:v>
                </c:pt>
                <c:pt idx="86">
                  <c:v>36284</c:v>
                </c:pt>
                <c:pt idx="87">
                  <c:v>36285</c:v>
                </c:pt>
                <c:pt idx="88">
                  <c:v>36286</c:v>
                </c:pt>
                <c:pt idx="89">
                  <c:v>36287</c:v>
                </c:pt>
                <c:pt idx="90">
                  <c:v>36290</c:v>
                </c:pt>
                <c:pt idx="91">
                  <c:v>36291</c:v>
                </c:pt>
                <c:pt idx="92">
                  <c:v>36292</c:v>
                </c:pt>
                <c:pt idx="93">
                  <c:v>36294</c:v>
                </c:pt>
                <c:pt idx="94">
                  <c:v>36297</c:v>
                </c:pt>
                <c:pt idx="95">
                  <c:v>36298</c:v>
                </c:pt>
                <c:pt idx="96">
                  <c:v>36299</c:v>
                </c:pt>
                <c:pt idx="97">
                  <c:v>36300</c:v>
                </c:pt>
                <c:pt idx="98">
                  <c:v>36301</c:v>
                </c:pt>
                <c:pt idx="99">
                  <c:v>36304</c:v>
                </c:pt>
                <c:pt idx="100">
                  <c:v>36305</c:v>
                </c:pt>
                <c:pt idx="101">
                  <c:v>36306</c:v>
                </c:pt>
                <c:pt idx="102">
                  <c:v>36307</c:v>
                </c:pt>
                <c:pt idx="103">
                  <c:v>36308</c:v>
                </c:pt>
                <c:pt idx="104">
                  <c:v>36311</c:v>
                </c:pt>
                <c:pt idx="105">
                  <c:v>36312</c:v>
                </c:pt>
                <c:pt idx="106">
                  <c:v>36313</c:v>
                </c:pt>
                <c:pt idx="107">
                  <c:v>36314</c:v>
                </c:pt>
                <c:pt idx="108">
                  <c:v>36315</c:v>
                </c:pt>
                <c:pt idx="109">
                  <c:v>36318</c:v>
                </c:pt>
                <c:pt idx="110">
                  <c:v>36319</c:v>
                </c:pt>
                <c:pt idx="111">
                  <c:v>36320</c:v>
                </c:pt>
                <c:pt idx="112">
                  <c:v>36321</c:v>
                </c:pt>
                <c:pt idx="113">
                  <c:v>36322</c:v>
                </c:pt>
                <c:pt idx="114">
                  <c:v>36325</c:v>
                </c:pt>
                <c:pt idx="115">
                  <c:v>36326</c:v>
                </c:pt>
                <c:pt idx="116">
                  <c:v>36327</c:v>
                </c:pt>
                <c:pt idx="117">
                  <c:v>36328</c:v>
                </c:pt>
                <c:pt idx="118">
                  <c:v>36329</c:v>
                </c:pt>
                <c:pt idx="119">
                  <c:v>36332</c:v>
                </c:pt>
                <c:pt idx="120">
                  <c:v>36333</c:v>
                </c:pt>
                <c:pt idx="121">
                  <c:v>36334</c:v>
                </c:pt>
                <c:pt idx="122">
                  <c:v>36335</c:v>
                </c:pt>
                <c:pt idx="123">
                  <c:v>36336</c:v>
                </c:pt>
                <c:pt idx="124">
                  <c:v>36339</c:v>
                </c:pt>
                <c:pt idx="125">
                  <c:v>36340</c:v>
                </c:pt>
                <c:pt idx="126">
                  <c:v>36341</c:v>
                </c:pt>
                <c:pt idx="127">
                  <c:v>36342</c:v>
                </c:pt>
                <c:pt idx="128">
                  <c:v>36343</c:v>
                </c:pt>
                <c:pt idx="129">
                  <c:v>36346</c:v>
                </c:pt>
                <c:pt idx="130">
                  <c:v>36347</c:v>
                </c:pt>
                <c:pt idx="131">
                  <c:v>36348</c:v>
                </c:pt>
                <c:pt idx="132">
                  <c:v>36349</c:v>
                </c:pt>
                <c:pt idx="133">
                  <c:v>36350</c:v>
                </c:pt>
                <c:pt idx="134">
                  <c:v>36353</c:v>
                </c:pt>
                <c:pt idx="135">
                  <c:v>36354</c:v>
                </c:pt>
                <c:pt idx="136">
                  <c:v>36355</c:v>
                </c:pt>
                <c:pt idx="137">
                  <c:v>36356</c:v>
                </c:pt>
                <c:pt idx="138">
                  <c:v>36357</c:v>
                </c:pt>
                <c:pt idx="139">
                  <c:v>36360</c:v>
                </c:pt>
                <c:pt idx="140">
                  <c:v>36361</c:v>
                </c:pt>
                <c:pt idx="141">
                  <c:v>36362</c:v>
                </c:pt>
                <c:pt idx="142">
                  <c:v>36363</c:v>
                </c:pt>
                <c:pt idx="143">
                  <c:v>36364</c:v>
                </c:pt>
                <c:pt idx="144">
                  <c:v>36367</c:v>
                </c:pt>
                <c:pt idx="145">
                  <c:v>36368</c:v>
                </c:pt>
                <c:pt idx="146">
                  <c:v>36369</c:v>
                </c:pt>
                <c:pt idx="147">
                  <c:v>36370</c:v>
                </c:pt>
                <c:pt idx="148">
                  <c:v>36371</c:v>
                </c:pt>
                <c:pt idx="149">
                  <c:v>36374</c:v>
                </c:pt>
                <c:pt idx="150">
                  <c:v>36375</c:v>
                </c:pt>
                <c:pt idx="151">
                  <c:v>36376</c:v>
                </c:pt>
                <c:pt idx="152">
                  <c:v>36377</c:v>
                </c:pt>
                <c:pt idx="153">
                  <c:v>36378</c:v>
                </c:pt>
                <c:pt idx="154">
                  <c:v>36381</c:v>
                </c:pt>
                <c:pt idx="155">
                  <c:v>36382</c:v>
                </c:pt>
                <c:pt idx="156">
                  <c:v>36383</c:v>
                </c:pt>
                <c:pt idx="157">
                  <c:v>36384</c:v>
                </c:pt>
                <c:pt idx="158">
                  <c:v>36385</c:v>
                </c:pt>
                <c:pt idx="159">
                  <c:v>36388</c:v>
                </c:pt>
                <c:pt idx="160">
                  <c:v>36389</c:v>
                </c:pt>
                <c:pt idx="161">
                  <c:v>36390</c:v>
                </c:pt>
                <c:pt idx="162">
                  <c:v>36391</c:v>
                </c:pt>
                <c:pt idx="163">
                  <c:v>36392</c:v>
                </c:pt>
                <c:pt idx="164">
                  <c:v>36395</c:v>
                </c:pt>
                <c:pt idx="165">
                  <c:v>36396</c:v>
                </c:pt>
                <c:pt idx="166">
                  <c:v>36397</c:v>
                </c:pt>
                <c:pt idx="167">
                  <c:v>36398</c:v>
                </c:pt>
                <c:pt idx="168">
                  <c:v>36399</c:v>
                </c:pt>
                <c:pt idx="169">
                  <c:v>36402</c:v>
                </c:pt>
                <c:pt idx="170">
                  <c:v>36403</c:v>
                </c:pt>
                <c:pt idx="171">
                  <c:v>36404</c:v>
                </c:pt>
                <c:pt idx="172">
                  <c:v>36405</c:v>
                </c:pt>
                <c:pt idx="173">
                  <c:v>36406</c:v>
                </c:pt>
                <c:pt idx="174">
                  <c:v>36409</c:v>
                </c:pt>
                <c:pt idx="175">
                  <c:v>36410</c:v>
                </c:pt>
                <c:pt idx="176">
                  <c:v>36411</c:v>
                </c:pt>
                <c:pt idx="177">
                  <c:v>36412</c:v>
                </c:pt>
                <c:pt idx="178">
                  <c:v>36413</c:v>
                </c:pt>
                <c:pt idx="179">
                  <c:v>36416</c:v>
                </c:pt>
                <c:pt idx="180">
                  <c:v>36417</c:v>
                </c:pt>
                <c:pt idx="181">
                  <c:v>36418</c:v>
                </c:pt>
                <c:pt idx="182">
                  <c:v>36419</c:v>
                </c:pt>
                <c:pt idx="183">
                  <c:v>36420</c:v>
                </c:pt>
                <c:pt idx="184">
                  <c:v>36423</c:v>
                </c:pt>
                <c:pt idx="185">
                  <c:v>36424</c:v>
                </c:pt>
                <c:pt idx="186">
                  <c:v>36425</c:v>
                </c:pt>
                <c:pt idx="187">
                  <c:v>36426</c:v>
                </c:pt>
                <c:pt idx="188">
                  <c:v>36427</c:v>
                </c:pt>
                <c:pt idx="189">
                  <c:v>36430</c:v>
                </c:pt>
                <c:pt idx="190">
                  <c:v>36431</c:v>
                </c:pt>
                <c:pt idx="191">
                  <c:v>36432</c:v>
                </c:pt>
                <c:pt idx="192">
                  <c:v>36433</c:v>
                </c:pt>
                <c:pt idx="193">
                  <c:v>36434</c:v>
                </c:pt>
                <c:pt idx="194">
                  <c:v>36437</c:v>
                </c:pt>
                <c:pt idx="195">
                  <c:v>36438</c:v>
                </c:pt>
                <c:pt idx="196">
                  <c:v>36439</c:v>
                </c:pt>
                <c:pt idx="197">
                  <c:v>36440</c:v>
                </c:pt>
                <c:pt idx="198">
                  <c:v>36441</c:v>
                </c:pt>
                <c:pt idx="199">
                  <c:v>36444</c:v>
                </c:pt>
                <c:pt idx="200">
                  <c:v>36445</c:v>
                </c:pt>
                <c:pt idx="201">
                  <c:v>36446</c:v>
                </c:pt>
                <c:pt idx="202">
                  <c:v>36447</c:v>
                </c:pt>
                <c:pt idx="203">
                  <c:v>36448</c:v>
                </c:pt>
                <c:pt idx="204">
                  <c:v>36451</c:v>
                </c:pt>
                <c:pt idx="205">
                  <c:v>36452</c:v>
                </c:pt>
                <c:pt idx="206">
                  <c:v>36453</c:v>
                </c:pt>
                <c:pt idx="207">
                  <c:v>36454</c:v>
                </c:pt>
                <c:pt idx="208">
                  <c:v>36455</c:v>
                </c:pt>
                <c:pt idx="209">
                  <c:v>36458</c:v>
                </c:pt>
                <c:pt idx="210">
                  <c:v>36459</c:v>
                </c:pt>
                <c:pt idx="211">
                  <c:v>36460</c:v>
                </c:pt>
                <c:pt idx="212">
                  <c:v>36461</c:v>
                </c:pt>
                <c:pt idx="213">
                  <c:v>36462</c:v>
                </c:pt>
                <c:pt idx="214">
                  <c:v>36465</c:v>
                </c:pt>
                <c:pt idx="215">
                  <c:v>36466</c:v>
                </c:pt>
                <c:pt idx="216">
                  <c:v>36467</c:v>
                </c:pt>
                <c:pt idx="217">
                  <c:v>36468</c:v>
                </c:pt>
                <c:pt idx="218">
                  <c:v>36469</c:v>
                </c:pt>
                <c:pt idx="219">
                  <c:v>36472</c:v>
                </c:pt>
                <c:pt idx="220">
                  <c:v>36473</c:v>
                </c:pt>
                <c:pt idx="221">
                  <c:v>36474</c:v>
                </c:pt>
                <c:pt idx="222">
                  <c:v>36475</c:v>
                </c:pt>
                <c:pt idx="223">
                  <c:v>36476</c:v>
                </c:pt>
                <c:pt idx="224">
                  <c:v>36479</c:v>
                </c:pt>
                <c:pt idx="225">
                  <c:v>36480</c:v>
                </c:pt>
                <c:pt idx="226">
                  <c:v>36481</c:v>
                </c:pt>
                <c:pt idx="227">
                  <c:v>36482</c:v>
                </c:pt>
                <c:pt idx="228">
                  <c:v>36483</c:v>
                </c:pt>
                <c:pt idx="229">
                  <c:v>36486</c:v>
                </c:pt>
                <c:pt idx="230">
                  <c:v>36487</c:v>
                </c:pt>
                <c:pt idx="231">
                  <c:v>36488</c:v>
                </c:pt>
                <c:pt idx="232">
                  <c:v>36489</c:v>
                </c:pt>
                <c:pt idx="233">
                  <c:v>36490</c:v>
                </c:pt>
                <c:pt idx="234">
                  <c:v>36493</c:v>
                </c:pt>
                <c:pt idx="235">
                  <c:v>36494</c:v>
                </c:pt>
                <c:pt idx="236">
                  <c:v>36495</c:v>
                </c:pt>
                <c:pt idx="237">
                  <c:v>36496</c:v>
                </c:pt>
                <c:pt idx="238">
                  <c:v>36497</c:v>
                </c:pt>
                <c:pt idx="239">
                  <c:v>36500</c:v>
                </c:pt>
                <c:pt idx="240">
                  <c:v>36501</c:v>
                </c:pt>
                <c:pt idx="241">
                  <c:v>36502</c:v>
                </c:pt>
                <c:pt idx="242">
                  <c:v>36503</c:v>
                </c:pt>
                <c:pt idx="243">
                  <c:v>36504</c:v>
                </c:pt>
                <c:pt idx="244">
                  <c:v>36507</c:v>
                </c:pt>
                <c:pt idx="245">
                  <c:v>36508</c:v>
                </c:pt>
                <c:pt idx="246">
                  <c:v>36509</c:v>
                </c:pt>
                <c:pt idx="247">
                  <c:v>36510</c:v>
                </c:pt>
                <c:pt idx="248">
                  <c:v>36511</c:v>
                </c:pt>
                <c:pt idx="249">
                  <c:v>36514</c:v>
                </c:pt>
                <c:pt idx="250">
                  <c:v>36515</c:v>
                </c:pt>
                <c:pt idx="251">
                  <c:v>36516</c:v>
                </c:pt>
                <c:pt idx="252">
                  <c:v>36517</c:v>
                </c:pt>
                <c:pt idx="253">
                  <c:v>36518</c:v>
                </c:pt>
                <c:pt idx="254">
                  <c:v>36521</c:v>
                </c:pt>
                <c:pt idx="255">
                  <c:v>36522</c:v>
                </c:pt>
                <c:pt idx="256">
                  <c:v>36523</c:v>
                </c:pt>
                <c:pt idx="257">
                  <c:v>36524</c:v>
                </c:pt>
                <c:pt idx="258">
                  <c:v>36528</c:v>
                </c:pt>
                <c:pt idx="259">
                  <c:v>36529</c:v>
                </c:pt>
                <c:pt idx="260">
                  <c:v>36530</c:v>
                </c:pt>
                <c:pt idx="261">
                  <c:v>36531</c:v>
                </c:pt>
                <c:pt idx="262">
                  <c:v>36532</c:v>
                </c:pt>
                <c:pt idx="263">
                  <c:v>36535</c:v>
                </c:pt>
                <c:pt idx="264">
                  <c:v>36536</c:v>
                </c:pt>
                <c:pt idx="265">
                  <c:v>36537</c:v>
                </c:pt>
                <c:pt idx="266">
                  <c:v>36538</c:v>
                </c:pt>
                <c:pt idx="267">
                  <c:v>36539</c:v>
                </c:pt>
                <c:pt idx="268">
                  <c:v>36542</c:v>
                </c:pt>
                <c:pt idx="269">
                  <c:v>36543</c:v>
                </c:pt>
                <c:pt idx="270">
                  <c:v>36544</c:v>
                </c:pt>
                <c:pt idx="271">
                  <c:v>36545</c:v>
                </c:pt>
                <c:pt idx="272">
                  <c:v>36546</c:v>
                </c:pt>
                <c:pt idx="273">
                  <c:v>36549</c:v>
                </c:pt>
                <c:pt idx="274">
                  <c:v>36550</c:v>
                </c:pt>
                <c:pt idx="275">
                  <c:v>36551</c:v>
                </c:pt>
                <c:pt idx="276">
                  <c:v>36552</c:v>
                </c:pt>
                <c:pt idx="277">
                  <c:v>36553</c:v>
                </c:pt>
                <c:pt idx="278">
                  <c:v>36556</c:v>
                </c:pt>
                <c:pt idx="279">
                  <c:v>36557</c:v>
                </c:pt>
                <c:pt idx="280">
                  <c:v>36558</c:v>
                </c:pt>
                <c:pt idx="281">
                  <c:v>36559</c:v>
                </c:pt>
                <c:pt idx="282">
                  <c:v>36560</c:v>
                </c:pt>
                <c:pt idx="283">
                  <c:v>36563</c:v>
                </c:pt>
                <c:pt idx="284">
                  <c:v>36564</c:v>
                </c:pt>
                <c:pt idx="285">
                  <c:v>36565</c:v>
                </c:pt>
                <c:pt idx="286">
                  <c:v>36566</c:v>
                </c:pt>
                <c:pt idx="287">
                  <c:v>36567</c:v>
                </c:pt>
                <c:pt idx="288">
                  <c:v>36570</c:v>
                </c:pt>
                <c:pt idx="289">
                  <c:v>36571</c:v>
                </c:pt>
                <c:pt idx="290">
                  <c:v>36572</c:v>
                </c:pt>
                <c:pt idx="291">
                  <c:v>36573</c:v>
                </c:pt>
                <c:pt idx="292">
                  <c:v>36574</c:v>
                </c:pt>
                <c:pt idx="293">
                  <c:v>36577</c:v>
                </c:pt>
                <c:pt idx="294">
                  <c:v>36578</c:v>
                </c:pt>
                <c:pt idx="295">
                  <c:v>36579</c:v>
                </c:pt>
                <c:pt idx="296">
                  <c:v>36580</c:v>
                </c:pt>
                <c:pt idx="297">
                  <c:v>36581</c:v>
                </c:pt>
                <c:pt idx="298">
                  <c:v>36584</c:v>
                </c:pt>
                <c:pt idx="299">
                  <c:v>36585</c:v>
                </c:pt>
                <c:pt idx="300">
                  <c:v>36586</c:v>
                </c:pt>
                <c:pt idx="301">
                  <c:v>36587</c:v>
                </c:pt>
                <c:pt idx="302">
                  <c:v>36588</c:v>
                </c:pt>
                <c:pt idx="303">
                  <c:v>36591</c:v>
                </c:pt>
                <c:pt idx="304">
                  <c:v>36592</c:v>
                </c:pt>
                <c:pt idx="305">
                  <c:v>36593</c:v>
                </c:pt>
                <c:pt idx="306">
                  <c:v>36594</c:v>
                </c:pt>
                <c:pt idx="307">
                  <c:v>36595</c:v>
                </c:pt>
                <c:pt idx="308">
                  <c:v>36598</c:v>
                </c:pt>
                <c:pt idx="309">
                  <c:v>36599</c:v>
                </c:pt>
                <c:pt idx="310">
                  <c:v>36600</c:v>
                </c:pt>
                <c:pt idx="311">
                  <c:v>36601</c:v>
                </c:pt>
                <c:pt idx="312">
                  <c:v>36602</c:v>
                </c:pt>
                <c:pt idx="313">
                  <c:v>36605</c:v>
                </c:pt>
                <c:pt idx="314">
                  <c:v>36606</c:v>
                </c:pt>
                <c:pt idx="315">
                  <c:v>36607</c:v>
                </c:pt>
                <c:pt idx="316">
                  <c:v>36608</c:v>
                </c:pt>
                <c:pt idx="317">
                  <c:v>36609</c:v>
                </c:pt>
                <c:pt idx="318">
                  <c:v>36612</c:v>
                </c:pt>
                <c:pt idx="319">
                  <c:v>36613</c:v>
                </c:pt>
                <c:pt idx="320">
                  <c:v>36614</c:v>
                </c:pt>
                <c:pt idx="321">
                  <c:v>36615</c:v>
                </c:pt>
                <c:pt idx="322">
                  <c:v>36616</c:v>
                </c:pt>
                <c:pt idx="323">
                  <c:v>36619</c:v>
                </c:pt>
                <c:pt idx="324">
                  <c:v>36620</c:v>
                </c:pt>
                <c:pt idx="325">
                  <c:v>36621</c:v>
                </c:pt>
                <c:pt idx="326">
                  <c:v>36622</c:v>
                </c:pt>
                <c:pt idx="327">
                  <c:v>36623</c:v>
                </c:pt>
                <c:pt idx="328">
                  <c:v>36626</c:v>
                </c:pt>
                <c:pt idx="329">
                  <c:v>36627</c:v>
                </c:pt>
                <c:pt idx="330">
                  <c:v>36628</c:v>
                </c:pt>
                <c:pt idx="331">
                  <c:v>36629</c:v>
                </c:pt>
                <c:pt idx="332">
                  <c:v>36630</c:v>
                </c:pt>
                <c:pt idx="333">
                  <c:v>36633</c:v>
                </c:pt>
                <c:pt idx="334">
                  <c:v>36634</c:v>
                </c:pt>
                <c:pt idx="335">
                  <c:v>36635</c:v>
                </c:pt>
                <c:pt idx="336">
                  <c:v>36636</c:v>
                </c:pt>
                <c:pt idx="337">
                  <c:v>36641</c:v>
                </c:pt>
                <c:pt idx="338">
                  <c:v>36642</c:v>
                </c:pt>
                <c:pt idx="339">
                  <c:v>36643</c:v>
                </c:pt>
                <c:pt idx="340">
                  <c:v>36644</c:v>
                </c:pt>
                <c:pt idx="341">
                  <c:v>36648</c:v>
                </c:pt>
                <c:pt idx="342">
                  <c:v>36649</c:v>
                </c:pt>
                <c:pt idx="343">
                  <c:v>36650</c:v>
                </c:pt>
                <c:pt idx="344">
                  <c:v>36651</c:v>
                </c:pt>
                <c:pt idx="345">
                  <c:v>36654</c:v>
                </c:pt>
                <c:pt idx="346">
                  <c:v>36655</c:v>
                </c:pt>
                <c:pt idx="347">
                  <c:v>36656</c:v>
                </c:pt>
                <c:pt idx="348">
                  <c:v>36657</c:v>
                </c:pt>
                <c:pt idx="349">
                  <c:v>36658</c:v>
                </c:pt>
                <c:pt idx="350">
                  <c:v>36661</c:v>
                </c:pt>
                <c:pt idx="351">
                  <c:v>36662</c:v>
                </c:pt>
                <c:pt idx="352">
                  <c:v>36663</c:v>
                </c:pt>
                <c:pt idx="353">
                  <c:v>36664</c:v>
                </c:pt>
                <c:pt idx="354">
                  <c:v>36665</c:v>
                </c:pt>
                <c:pt idx="355">
                  <c:v>36668</c:v>
                </c:pt>
                <c:pt idx="356">
                  <c:v>36669</c:v>
                </c:pt>
                <c:pt idx="357">
                  <c:v>36670</c:v>
                </c:pt>
                <c:pt idx="358">
                  <c:v>36671</c:v>
                </c:pt>
                <c:pt idx="359">
                  <c:v>36672</c:v>
                </c:pt>
                <c:pt idx="360">
                  <c:v>36675</c:v>
                </c:pt>
                <c:pt idx="361">
                  <c:v>36676</c:v>
                </c:pt>
                <c:pt idx="362">
                  <c:v>36677</c:v>
                </c:pt>
                <c:pt idx="363">
                  <c:v>36678</c:v>
                </c:pt>
                <c:pt idx="364">
                  <c:v>36679</c:v>
                </c:pt>
                <c:pt idx="365">
                  <c:v>36682</c:v>
                </c:pt>
                <c:pt idx="366">
                  <c:v>36683</c:v>
                </c:pt>
                <c:pt idx="367">
                  <c:v>36684</c:v>
                </c:pt>
                <c:pt idx="368">
                  <c:v>36685</c:v>
                </c:pt>
                <c:pt idx="369">
                  <c:v>36686</c:v>
                </c:pt>
                <c:pt idx="370">
                  <c:v>36689</c:v>
                </c:pt>
                <c:pt idx="371">
                  <c:v>36690</c:v>
                </c:pt>
                <c:pt idx="372">
                  <c:v>36691</c:v>
                </c:pt>
                <c:pt idx="373">
                  <c:v>36692</c:v>
                </c:pt>
                <c:pt idx="374">
                  <c:v>36693</c:v>
                </c:pt>
                <c:pt idx="375">
                  <c:v>36696</c:v>
                </c:pt>
                <c:pt idx="376">
                  <c:v>36697</c:v>
                </c:pt>
                <c:pt idx="377">
                  <c:v>36698</c:v>
                </c:pt>
                <c:pt idx="378">
                  <c:v>36699</c:v>
                </c:pt>
                <c:pt idx="379">
                  <c:v>36700</c:v>
                </c:pt>
                <c:pt idx="380">
                  <c:v>36703</c:v>
                </c:pt>
                <c:pt idx="381">
                  <c:v>36704</c:v>
                </c:pt>
                <c:pt idx="382">
                  <c:v>36705</c:v>
                </c:pt>
                <c:pt idx="383">
                  <c:v>36706</c:v>
                </c:pt>
                <c:pt idx="384">
                  <c:v>36707</c:v>
                </c:pt>
                <c:pt idx="385">
                  <c:v>36710</c:v>
                </c:pt>
                <c:pt idx="386">
                  <c:v>36711</c:v>
                </c:pt>
                <c:pt idx="387">
                  <c:v>36712</c:v>
                </c:pt>
                <c:pt idx="388">
                  <c:v>36713</c:v>
                </c:pt>
                <c:pt idx="389">
                  <c:v>36714</c:v>
                </c:pt>
                <c:pt idx="390">
                  <c:v>36717</c:v>
                </c:pt>
                <c:pt idx="391">
                  <c:v>36718</c:v>
                </c:pt>
                <c:pt idx="392">
                  <c:v>36719</c:v>
                </c:pt>
                <c:pt idx="393">
                  <c:v>36720</c:v>
                </c:pt>
                <c:pt idx="394">
                  <c:v>36721</c:v>
                </c:pt>
                <c:pt idx="395">
                  <c:v>36724</c:v>
                </c:pt>
                <c:pt idx="396">
                  <c:v>36725</c:v>
                </c:pt>
                <c:pt idx="397">
                  <c:v>36726</c:v>
                </c:pt>
                <c:pt idx="398">
                  <c:v>36727</c:v>
                </c:pt>
                <c:pt idx="399">
                  <c:v>36728</c:v>
                </c:pt>
                <c:pt idx="400">
                  <c:v>36731</c:v>
                </c:pt>
                <c:pt idx="401">
                  <c:v>36732</c:v>
                </c:pt>
                <c:pt idx="402">
                  <c:v>36733</c:v>
                </c:pt>
                <c:pt idx="403">
                  <c:v>36734</c:v>
                </c:pt>
                <c:pt idx="404">
                  <c:v>36735</c:v>
                </c:pt>
                <c:pt idx="405">
                  <c:v>36738</c:v>
                </c:pt>
                <c:pt idx="406">
                  <c:v>36739</c:v>
                </c:pt>
                <c:pt idx="407">
                  <c:v>36740</c:v>
                </c:pt>
                <c:pt idx="408">
                  <c:v>36741</c:v>
                </c:pt>
                <c:pt idx="409">
                  <c:v>36742</c:v>
                </c:pt>
                <c:pt idx="410">
                  <c:v>36745</c:v>
                </c:pt>
                <c:pt idx="411">
                  <c:v>36746</c:v>
                </c:pt>
                <c:pt idx="412">
                  <c:v>36747</c:v>
                </c:pt>
                <c:pt idx="413">
                  <c:v>36748</c:v>
                </c:pt>
                <c:pt idx="414">
                  <c:v>36749</c:v>
                </c:pt>
                <c:pt idx="415">
                  <c:v>36752</c:v>
                </c:pt>
                <c:pt idx="416">
                  <c:v>36753</c:v>
                </c:pt>
                <c:pt idx="417">
                  <c:v>36754</c:v>
                </c:pt>
                <c:pt idx="418">
                  <c:v>36755</c:v>
                </c:pt>
                <c:pt idx="419">
                  <c:v>36756</c:v>
                </c:pt>
                <c:pt idx="420">
                  <c:v>36759</c:v>
                </c:pt>
                <c:pt idx="421">
                  <c:v>36760</c:v>
                </c:pt>
                <c:pt idx="422">
                  <c:v>36761</c:v>
                </c:pt>
                <c:pt idx="423">
                  <c:v>36762</c:v>
                </c:pt>
                <c:pt idx="424">
                  <c:v>36763</c:v>
                </c:pt>
                <c:pt idx="425">
                  <c:v>36766</c:v>
                </c:pt>
                <c:pt idx="426">
                  <c:v>36767</c:v>
                </c:pt>
                <c:pt idx="427">
                  <c:v>36768</c:v>
                </c:pt>
                <c:pt idx="428">
                  <c:v>36769</c:v>
                </c:pt>
                <c:pt idx="429">
                  <c:v>36770</c:v>
                </c:pt>
                <c:pt idx="430">
                  <c:v>36773</c:v>
                </c:pt>
                <c:pt idx="431">
                  <c:v>36774</c:v>
                </c:pt>
                <c:pt idx="432">
                  <c:v>36775</c:v>
                </c:pt>
                <c:pt idx="433">
                  <c:v>36776</c:v>
                </c:pt>
                <c:pt idx="434">
                  <c:v>36777</c:v>
                </c:pt>
                <c:pt idx="435">
                  <c:v>36780</c:v>
                </c:pt>
                <c:pt idx="436">
                  <c:v>36781</c:v>
                </c:pt>
                <c:pt idx="437">
                  <c:v>36782</c:v>
                </c:pt>
                <c:pt idx="438">
                  <c:v>36783</c:v>
                </c:pt>
                <c:pt idx="439">
                  <c:v>36784</c:v>
                </c:pt>
                <c:pt idx="440">
                  <c:v>36787</c:v>
                </c:pt>
                <c:pt idx="441">
                  <c:v>36788</c:v>
                </c:pt>
                <c:pt idx="442">
                  <c:v>36789</c:v>
                </c:pt>
                <c:pt idx="443">
                  <c:v>36790</c:v>
                </c:pt>
                <c:pt idx="444">
                  <c:v>36791</c:v>
                </c:pt>
                <c:pt idx="445">
                  <c:v>36794</c:v>
                </c:pt>
                <c:pt idx="446">
                  <c:v>36795</c:v>
                </c:pt>
                <c:pt idx="447">
                  <c:v>36796</c:v>
                </c:pt>
                <c:pt idx="448">
                  <c:v>36797</c:v>
                </c:pt>
                <c:pt idx="449">
                  <c:v>36798</c:v>
                </c:pt>
                <c:pt idx="450">
                  <c:v>36801</c:v>
                </c:pt>
                <c:pt idx="451">
                  <c:v>36802</c:v>
                </c:pt>
                <c:pt idx="452">
                  <c:v>36803</c:v>
                </c:pt>
                <c:pt idx="453">
                  <c:v>36804</c:v>
                </c:pt>
                <c:pt idx="454">
                  <c:v>36805</c:v>
                </c:pt>
                <c:pt idx="455">
                  <c:v>36808</c:v>
                </c:pt>
                <c:pt idx="456">
                  <c:v>36809</c:v>
                </c:pt>
                <c:pt idx="457">
                  <c:v>36810</c:v>
                </c:pt>
                <c:pt idx="458">
                  <c:v>36811</c:v>
                </c:pt>
                <c:pt idx="459">
                  <c:v>36812</c:v>
                </c:pt>
                <c:pt idx="460">
                  <c:v>36815</c:v>
                </c:pt>
                <c:pt idx="461">
                  <c:v>36816</c:v>
                </c:pt>
                <c:pt idx="462">
                  <c:v>36817</c:v>
                </c:pt>
                <c:pt idx="463">
                  <c:v>36818</c:v>
                </c:pt>
                <c:pt idx="464">
                  <c:v>36819</c:v>
                </c:pt>
                <c:pt idx="465">
                  <c:v>36822</c:v>
                </c:pt>
                <c:pt idx="466">
                  <c:v>36823</c:v>
                </c:pt>
                <c:pt idx="467">
                  <c:v>36824</c:v>
                </c:pt>
                <c:pt idx="468">
                  <c:v>36825</c:v>
                </c:pt>
                <c:pt idx="469">
                  <c:v>36826</c:v>
                </c:pt>
                <c:pt idx="470">
                  <c:v>36829</c:v>
                </c:pt>
                <c:pt idx="471">
                  <c:v>36830</c:v>
                </c:pt>
                <c:pt idx="472">
                  <c:v>36831</c:v>
                </c:pt>
                <c:pt idx="473">
                  <c:v>36832</c:v>
                </c:pt>
                <c:pt idx="474">
                  <c:v>36833</c:v>
                </c:pt>
                <c:pt idx="475">
                  <c:v>36836</c:v>
                </c:pt>
                <c:pt idx="476">
                  <c:v>36837</c:v>
                </c:pt>
                <c:pt idx="477">
                  <c:v>36838</c:v>
                </c:pt>
                <c:pt idx="478">
                  <c:v>36839</c:v>
                </c:pt>
                <c:pt idx="479">
                  <c:v>36840</c:v>
                </c:pt>
                <c:pt idx="480">
                  <c:v>36843</c:v>
                </c:pt>
                <c:pt idx="481">
                  <c:v>36844</c:v>
                </c:pt>
                <c:pt idx="482">
                  <c:v>36845</c:v>
                </c:pt>
                <c:pt idx="483">
                  <c:v>36846</c:v>
                </c:pt>
                <c:pt idx="484">
                  <c:v>36847</c:v>
                </c:pt>
                <c:pt idx="485">
                  <c:v>36850</c:v>
                </c:pt>
                <c:pt idx="486">
                  <c:v>36851</c:v>
                </c:pt>
                <c:pt idx="487">
                  <c:v>36852</c:v>
                </c:pt>
                <c:pt idx="488">
                  <c:v>36853</c:v>
                </c:pt>
                <c:pt idx="489">
                  <c:v>36854</c:v>
                </c:pt>
                <c:pt idx="490">
                  <c:v>36857</c:v>
                </c:pt>
                <c:pt idx="491">
                  <c:v>36858</c:v>
                </c:pt>
                <c:pt idx="492">
                  <c:v>36859</c:v>
                </c:pt>
                <c:pt idx="493">
                  <c:v>36860</c:v>
                </c:pt>
                <c:pt idx="494">
                  <c:v>36861</c:v>
                </c:pt>
                <c:pt idx="495">
                  <c:v>36864</c:v>
                </c:pt>
                <c:pt idx="496">
                  <c:v>36865</c:v>
                </c:pt>
                <c:pt idx="497">
                  <c:v>36866</c:v>
                </c:pt>
                <c:pt idx="498">
                  <c:v>36867</c:v>
                </c:pt>
                <c:pt idx="499">
                  <c:v>36868</c:v>
                </c:pt>
                <c:pt idx="500">
                  <c:v>36871</c:v>
                </c:pt>
                <c:pt idx="501">
                  <c:v>36872</c:v>
                </c:pt>
                <c:pt idx="502">
                  <c:v>36873</c:v>
                </c:pt>
                <c:pt idx="503">
                  <c:v>36874</c:v>
                </c:pt>
                <c:pt idx="504">
                  <c:v>36875</c:v>
                </c:pt>
                <c:pt idx="505">
                  <c:v>36878</c:v>
                </c:pt>
                <c:pt idx="506">
                  <c:v>36879</c:v>
                </c:pt>
                <c:pt idx="507">
                  <c:v>36880</c:v>
                </c:pt>
                <c:pt idx="508">
                  <c:v>36881</c:v>
                </c:pt>
                <c:pt idx="509">
                  <c:v>36882</c:v>
                </c:pt>
                <c:pt idx="510">
                  <c:v>36887</c:v>
                </c:pt>
                <c:pt idx="511">
                  <c:v>36888</c:v>
                </c:pt>
                <c:pt idx="512">
                  <c:v>36889</c:v>
                </c:pt>
                <c:pt idx="513">
                  <c:v>36893</c:v>
                </c:pt>
                <c:pt idx="514">
                  <c:v>36894</c:v>
                </c:pt>
                <c:pt idx="515">
                  <c:v>36895</c:v>
                </c:pt>
                <c:pt idx="516">
                  <c:v>36896</c:v>
                </c:pt>
                <c:pt idx="517">
                  <c:v>36899</c:v>
                </c:pt>
                <c:pt idx="518">
                  <c:v>36900</c:v>
                </c:pt>
                <c:pt idx="519">
                  <c:v>36901</c:v>
                </c:pt>
                <c:pt idx="520">
                  <c:v>36902</c:v>
                </c:pt>
                <c:pt idx="521">
                  <c:v>36903</c:v>
                </c:pt>
                <c:pt idx="522">
                  <c:v>36906</c:v>
                </c:pt>
                <c:pt idx="523">
                  <c:v>36907</c:v>
                </c:pt>
                <c:pt idx="524">
                  <c:v>36908</c:v>
                </c:pt>
                <c:pt idx="525">
                  <c:v>36909</c:v>
                </c:pt>
                <c:pt idx="526">
                  <c:v>36910</c:v>
                </c:pt>
                <c:pt idx="527">
                  <c:v>36913</c:v>
                </c:pt>
                <c:pt idx="528">
                  <c:v>36914</c:v>
                </c:pt>
                <c:pt idx="529">
                  <c:v>36915</c:v>
                </c:pt>
                <c:pt idx="530">
                  <c:v>36916</c:v>
                </c:pt>
                <c:pt idx="531">
                  <c:v>36917</c:v>
                </c:pt>
                <c:pt idx="532">
                  <c:v>36920</c:v>
                </c:pt>
                <c:pt idx="533">
                  <c:v>36921</c:v>
                </c:pt>
                <c:pt idx="534">
                  <c:v>36922</c:v>
                </c:pt>
                <c:pt idx="535">
                  <c:v>36923</c:v>
                </c:pt>
                <c:pt idx="536">
                  <c:v>36924</c:v>
                </c:pt>
                <c:pt idx="537">
                  <c:v>36927</c:v>
                </c:pt>
                <c:pt idx="538">
                  <c:v>36928</c:v>
                </c:pt>
                <c:pt idx="539">
                  <c:v>36929</c:v>
                </c:pt>
                <c:pt idx="540">
                  <c:v>36930</c:v>
                </c:pt>
                <c:pt idx="541">
                  <c:v>36931</c:v>
                </c:pt>
                <c:pt idx="542">
                  <c:v>36934</c:v>
                </c:pt>
                <c:pt idx="543">
                  <c:v>36935</c:v>
                </c:pt>
                <c:pt idx="544">
                  <c:v>36936</c:v>
                </c:pt>
                <c:pt idx="545">
                  <c:v>36937</c:v>
                </c:pt>
                <c:pt idx="546">
                  <c:v>36938</c:v>
                </c:pt>
                <c:pt idx="547">
                  <c:v>36941</c:v>
                </c:pt>
                <c:pt idx="548">
                  <c:v>36942</c:v>
                </c:pt>
                <c:pt idx="549">
                  <c:v>36943</c:v>
                </c:pt>
                <c:pt idx="550">
                  <c:v>36944</c:v>
                </c:pt>
                <c:pt idx="551">
                  <c:v>36945</c:v>
                </c:pt>
                <c:pt idx="552">
                  <c:v>36948</c:v>
                </c:pt>
                <c:pt idx="553">
                  <c:v>36949</c:v>
                </c:pt>
                <c:pt idx="554">
                  <c:v>36950</c:v>
                </c:pt>
                <c:pt idx="555">
                  <c:v>36951</c:v>
                </c:pt>
                <c:pt idx="556">
                  <c:v>36952</c:v>
                </c:pt>
                <c:pt idx="557">
                  <c:v>36955</c:v>
                </c:pt>
                <c:pt idx="558">
                  <c:v>36956</c:v>
                </c:pt>
                <c:pt idx="559">
                  <c:v>36957</c:v>
                </c:pt>
                <c:pt idx="560">
                  <c:v>36958</c:v>
                </c:pt>
                <c:pt idx="561">
                  <c:v>36959</c:v>
                </c:pt>
                <c:pt idx="562">
                  <c:v>36962</c:v>
                </c:pt>
                <c:pt idx="563">
                  <c:v>36963</c:v>
                </c:pt>
                <c:pt idx="564">
                  <c:v>36964</c:v>
                </c:pt>
                <c:pt idx="565">
                  <c:v>36965</c:v>
                </c:pt>
                <c:pt idx="566">
                  <c:v>36966</c:v>
                </c:pt>
                <c:pt idx="567">
                  <c:v>36969</c:v>
                </c:pt>
                <c:pt idx="568">
                  <c:v>36970</c:v>
                </c:pt>
                <c:pt idx="569">
                  <c:v>36971</c:v>
                </c:pt>
                <c:pt idx="570">
                  <c:v>36972</c:v>
                </c:pt>
                <c:pt idx="571">
                  <c:v>36973</c:v>
                </c:pt>
                <c:pt idx="572">
                  <c:v>36976</c:v>
                </c:pt>
                <c:pt idx="573">
                  <c:v>36977</c:v>
                </c:pt>
                <c:pt idx="574">
                  <c:v>36978</c:v>
                </c:pt>
                <c:pt idx="575">
                  <c:v>36979</c:v>
                </c:pt>
                <c:pt idx="576">
                  <c:v>36980</c:v>
                </c:pt>
                <c:pt idx="577">
                  <c:v>36983</c:v>
                </c:pt>
                <c:pt idx="578">
                  <c:v>36984</c:v>
                </c:pt>
                <c:pt idx="579">
                  <c:v>36985</c:v>
                </c:pt>
                <c:pt idx="580">
                  <c:v>36986</c:v>
                </c:pt>
                <c:pt idx="581">
                  <c:v>36987</c:v>
                </c:pt>
                <c:pt idx="582">
                  <c:v>36990</c:v>
                </c:pt>
                <c:pt idx="583">
                  <c:v>36991</c:v>
                </c:pt>
                <c:pt idx="584">
                  <c:v>36992</c:v>
                </c:pt>
                <c:pt idx="585">
                  <c:v>36993</c:v>
                </c:pt>
                <c:pt idx="586">
                  <c:v>36998</c:v>
                </c:pt>
                <c:pt idx="587">
                  <c:v>36999</c:v>
                </c:pt>
                <c:pt idx="588">
                  <c:v>37000</c:v>
                </c:pt>
                <c:pt idx="589">
                  <c:v>37001</c:v>
                </c:pt>
                <c:pt idx="590">
                  <c:v>37004</c:v>
                </c:pt>
                <c:pt idx="591">
                  <c:v>37005</c:v>
                </c:pt>
                <c:pt idx="592">
                  <c:v>37006</c:v>
                </c:pt>
                <c:pt idx="593">
                  <c:v>37007</c:v>
                </c:pt>
                <c:pt idx="594">
                  <c:v>37008</c:v>
                </c:pt>
                <c:pt idx="595">
                  <c:v>37011</c:v>
                </c:pt>
                <c:pt idx="596">
                  <c:v>37013</c:v>
                </c:pt>
                <c:pt idx="597">
                  <c:v>37014</c:v>
                </c:pt>
                <c:pt idx="598">
                  <c:v>37015</c:v>
                </c:pt>
                <c:pt idx="599">
                  <c:v>37018</c:v>
                </c:pt>
                <c:pt idx="600">
                  <c:v>37019</c:v>
                </c:pt>
                <c:pt idx="601">
                  <c:v>37020</c:v>
                </c:pt>
                <c:pt idx="602">
                  <c:v>37021</c:v>
                </c:pt>
                <c:pt idx="603">
                  <c:v>37022</c:v>
                </c:pt>
                <c:pt idx="604">
                  <c:v>37025</c:v>
                </c:pt>
                <c:pt idx="605">
                  <c:v>37026</c:v>
                </c:pt>
                <c:pt idx="606">
                  <c:v>37027</c:v>
                </c:pt>
                <c:pt idx="607">
                  <c:v>37028</c:v>
                </c:pt>
                <c:pt idx="608">
                  <c:v>37029</c:v>
                </c:pt>
                <c:pt idx="609">
                  <c:v>37032</c:v>
                </c:pt>
                <c:pt idx="610">
                  <c:v>37033</c:v>
                </c:pt>
                <c:pt idx="611">
                  <c:v>37034</c:v>
                </c:pt>
                <c:pt idx="612">
                  <c:v>37035</c:v>
                </c:pt>
                <c:pt idx="613">
                  <c:v>37036</c:v>
                </c:pt>
                <c:pt idx="614">
                  <c:v>37039</c:v>
                </c:pt>
                <c:pt idx="615">
                  <c:v>37040</c:v>
                </c:pt>
                <c:pt idx="616">
                  <c:v>37041</c:v>
                </c:pt>
                <c:pt idx="617">
                  <c:v>37042</c:v>
                </c:pt>
                <c:pt idx="618">
                  <c:v>37043</c:v>
                </c:pt>
                <c:pt idx="619">
                  <c:v>37046</c:v>
                </c:pt>
                <c:pt idx="620">
                  <c:v>37047</c:v>
                </c:pt>
                <c:pt idx="621">
                  <c:v>37048</c:v>
                </c:pt>
                <c:pt idx="622">
                  <c:v>37049</c:v>
                </c:pt>
                <c:pt idx="623">
                  <c:v>37050</c:v>
                </c:pt>
                <c:pt idx="624">
                  <c:v>37053</c:v>
                </c:pt>
                <c:pt idx="625">
                  <c:v>37054</c:v>
                </c:pt>
                <c:pt idx="626">
                  <c:v>37055</c:v>
                </c:pt>
                <c:pt idx="627">
                  <c:v>37056</c:v>
                </c:pt>
                <c:pt idx="628">
                  <c:v>37057</c:v>
                </c:pt>
                <c:pt idx="629">
                  <c:v>37060</c:v>
                </c:pt>
                <c:pt idx="630">
                  <c:v>37061</c:v>
                </c:pt>
                <c:pt idx="631">
                  <c:v>37062</c:v>
                </c:pt>
                <c:pt idx="632">
                  <c:v>37063</c:v>
                </c:pt>
                <c:pt idx="633">
                  <c:v>37064</c:v>
                </c:pt>
                <c:pt idx="634">
                  <c:v>37067</c:v>
                </c:pt>
                <c:pt idx="635">
                  <c:v>37068</c:v>
                </c:pt>
                <c:pt idx="636">
                  <c:v>37069</c:v>
                </c:pt>
                <c:pt idx="637">
                  <c:v>37070</c:v>
                </c:pt>
                <c:pt idx="638">
                  <c:v>37071</c:v>
                </c:pt>
                <c:pt idx="639">
                  <c:v>37074</c:v>
                </c:pt>
                <c:pt idx="640">
                  <c:v>37075</c:v>
                </c:pt>
                <c:pt idx="641">
                  <c:v>37076</c:v>
                </c:pt>
                <c:pt idx="642">
                  <c:v>37077</c:v>
                </c:pt>
                <c:pt idx="643">
                  <c:v>37078</c:v>
                </c:pt>
                <c:pt idx="644">
                  <c:v>37081</c:v>
                </c:pt>
                <c:pt idx="645">
                  <c:v>37082</c:v>
                </c:pt>
                <c:pt idx="646">
                  <c:v>37083</c:v>
                </c:pt>
                <c:pt idx="647">
                  <c:v>37084</c:v>
                </c:pt>
                <c:pt idx="648">
                  <c:v>37085</c:v>
                </c:pt>
                <c:pt idx="649">
                  <c:v>37088</c:v>
                </c:pt>
                <c:pt idx="650">
                  <c:v>37089</c:v>
                </c:pt>
                <c:pt idx="651">
                  <c:v>37090</c:v>
                </c:pt>
                <c:pt idx="652">
                  <c:v>37091</c:v>
                </c:pt>
                <c:pt idx="653">
                  <c:v>37092</c:v>
                </c:pt>
                <c:pt idx="654">
                  <c:v>37095</c:v>
                </c:pt>
                <c:pt idx="655">
                  <c:v>37096</c:v>
                </c:pt>
                <c:pt idx="656">
                  <c:v>37097</c:v>
                </c:pt>
                <c:pt idx="657">
                  <c:v>37098</c:v>
                </c:pt>
                <c:pt idx="658">
                  <c:v>37099</c:v>
                </c:pt>
                <c:pt idx="659">
                  <c:v>37102</c:v>
                </c:pt>
                <c:pt idx="660">
                  <c:v>37103</c:v>
                </c:pt>
                <c:pt idx="661">
                  <c:v>37104</c:v>
                </c:pt>
                <c:pt idx="662">
                  <c:v>37105</c:v>
                </c:pt>
                <c:pt idx="663">
                  <c:v>37106</c:v>
                </c:pt>
                <c:pt idx="664">
                  <c:v>37109</c:v>
                </c:pt>
                <c:pt idx="665">
                  <c:v>37110</c:v>
                </c:pt>
                <c:pt idx="666">
                  <c:v>37111</c:v>
                </c:pt>
                <c:pt idx="667">
                  <c:v>37112</c:v>
                </c:pt>
                <c:pt idx="668">
                  <c:v>37113</c:v>
                </c:pt>
                <c:pt idx="669">
                  <c:v>37116</c:v>
                </c:pt>
                <c:pt idx="670">
                  <c:v>37117</c:v>
                </c:pt>
                <c:pt idx="671">
                  <c:v>37118</c:v>
                </c:pt>
                <c:pt idx="672">
                  <c:v>37119</c:v>
                </c:pt>
                <c:pt idx="673">
                  <c:v>37120</c:v>
                </c:pt>
                <c:pt idx="674">
                  <c:v>37123</c:v>
                </c:pt>
                <c:pt idx="675">
                  <c:v>37124</c:v>
                </c:pt>
                <c:pt idx="676">
                  <c:v>37125</c:v>
                </c:pt>
                <c:pt idx="677">
                  <c:v>37126</c:v>
                </c:pt>
                <c:pt idx="678">
                  <c:v>37127</c:v>
                </c:pt>
                <c:pt idx="679">
                  <c:v>37130</c:v>
                </c:pt>
                <c:pt idx="680">
                  <c:v>37131</c:v>
                </c:pt>
                <c:pt idx="681">
                  <c:v>37132</c:v>
                </c:pt>
                <c:pt idx="682">
                  <c:v>37133</c:v>
                </c:pt>
                <c:pt idx="683">
                  <c:v>37134</c:v>
                </c:pt>
                <c:pt idx="684">
                  <c:v>37137</c:v>
                </c:pt>
                <c:pt idx="685">
                  <c:v>37138</c:v>
                </c:pt>
                <c:pt idx="686">
                  <c:v>37139</c:v>
                </c:pt>
                <c:pt idx="687">
                  <c:v>37140</c:v>
                </c:pt>
                <c:pt idx="688">
                  <c:v>37141</c:v>
                </c:pt>
                <c:pt idx="689">
                  <c:v>37144</c:v>
                </c:pt>
                <c:pt idx="690">
                  <c:v>37145</c:v>
                </c:pt>
                <c:pt idx="691">
                  <c:v>37146</c:v>
                </c:pt>
                <c:pt idx="692">
                  <c:v>37147</c:v>
                </c:pt>
                <c:pt idx="693">
                  <c:v>37148</c:v>
                </c:pt>
                <c:pt idx="694">
                  <c:v>37151</c:v>
                </c:pt>
                <c:pt idx="695">
                  <c:v>37152</c:v>
                </c:pt>
                <c:pt idx="696">
                  <c:v>37153</c:v>
                </c:pt>
                <c:pt idx="697">
                  <c:v>37154</c:v>
                </c:pt>
                <c:pt idx="698">
                  <c:v>37155</c:v>
                </c:pt>
                <c:pt idx="699">
                  <c:v>37158</c:v>
                </c:pt>
                <c:pt idx="700">
                  <c:v>37159</c:v>
                </c:pt>
                <c:pt idx="701">
                  <c:v>37160</c:v>
                </c:pt>
                <c:pt idx="702">
                  <c:v>37161</c:v>
                </c:pt>
                <c:pt idx="703">
                  <c:v>37162</c:v>
                </c:pt>
                <c:pt idx="704">
                  <c:v>37165</c:v>
                </c:pt>
                <c:pt idx="705">
                  <c:v>37166</c:v>
                </c:pt>
                <c:pt idx="706">
                  <c:v>37167</c:v>
                </c:pt>
                <c:pt idx="707">
                  <c:v>37168</c:v>
                </c:pt>
                <c:pt idx="708">
                  <c:v>37169</c:v>
                </c:pt>
                <c:pt idx="709">
                  <c:v>37172</c:v>
                </c:pt>
                <c:pt idx="710">
                  <c:v>37173</c:v>
                </c:pt>
                <c:pt idx="711">
                  <c:v>37174</c:v>
                </c:pt>
                <c:pt idx="712">
                  <c:v>37175</c:v>
                </c:pt>
                <c:pt idx="713">
                  <c:v>37176</c:v>
                </c:pt>
                <c:pt idx="714">
                  <c:v>37179</c:v>
                </c:pt>
                <c:pt idx="715">
                  <c:v>37180</c:v>
                </c:pt>
                <c:pt idx="716">
                  <c:v>37181</c:v>
                </c:pt>
                <c:pt idx="717">
                  <c:v>37182</c:v>
                </c:pt>
                <c:pt idx="718">
                  <c:v>37183</c:v>
                </c:pt>
                <c:pt idx="719">
                  <c:v>37186</c:v>
                </c:pt>
                <c:pt idx="720">
                  <c:v>37187</c:v>
                </c:pt>
                <c:pt idx="721">
                  <c:v>37188</c:v>
                </c:pt>
                <c:pt idx="722">
                  <c:v>37189</c:v>
                </c:pt>
                <c:pt idx="723">
                  <c:v>37190</c:v>
                </c:pt>
                <c:pt idx="724">
                  <c:v>37193</c:v>
                </c:pt>
                <c:pt idx="725">
                  <c:v>37194</c:v>
                </c:pt>
                <c:pt idx="726">
                  <c:v>37195</c:v>
                </c:pt>
                <c:pt idx="727">
                  <c:v>37196</c:v>
                </c:pt>
                <c:pt idx="728">
                  <c:v>37197</c:v>
                </c:pt>
                <c:pt idx="729">
                  <c:v>37200</c:v>
                </c:pt>
                <c:pt idx="730">
                  <c:v>37201</c:v>
                </c:pt>
                <c:pt idx="731">
                  <c:v>37202</c:v>
                </c:pt>
                <c:pt idx="732">
                  <c:v>37203</c:v>
                </c:pt>
                <c:pt idx="733">
                  <c:v>37204</c:v>
                </c:pt>
                <c:pt idx="734">
                  <c:v>37207</c:v>
                </c:pt>
                <c:pt idx="735">
                  <c:v>37208</c:v>
                </c:pt>
                <c:pt idx="736">
                  <c:v>37209</c:v>
                </c:pt>
                <c:pt idx="737">
                  <c:v>37210</c:v>
                </c:pt>
                <c:pt idx="738">
                  <c:v>37211</c:v>
                </c:pt>
                <c:pt idx="739">
                  <c:v>37214</c:v>
                </c:pt>
                <c:pt idx="740">
                  <c:v>37215</c:v>
                </c:pt>
                <c:pt idx="741">
                  <c:v>37216</c:v>
                </c:pt>
                <c:pt idx="742">
                  <c:v>37217</c:v>
                </c:pt>
                <c:pt idx="743">
                  <c:v>37218</c:v>
                </c:pt>
                <c:pt idx="744">
                  <c:v>37221</c:v>
                </c:pt>
                <c:pt idx="745">
                  <c:v>37222</c:v>
                </c:pt>
                <c:pt idx="746">
                  <c:v>37223</c:v>
                </c:pt>
                <c:pt idx="747">
                  <c:v>37224</c:v>
                </c:pt>
                <c:pt idx="748">
                  <c:v>37225</c:v>
                </c:pt>
                <c:pt idx="749">
                  <c:v>37228</c:v>
                </c:pt>
                <c:pt idx="750">
                  <c:v>37229</c:v>
                </c:pt>
                <c:pt idx="751">
                  <c:v>37230</c:v>
                </c:pt>
                <c:pt idx="752">
                  <c:v>37231</c:v>
                </c:pt>
                <c:pt idx="753">
                  <c:v>37232</c:v>
                </c:pt>
                <c:pt idx="754">
                  <c:v>37235</c:v>
                </c:pt>
                <c:pt idx="755">
                  <c:v>37236</c:v>
                </c:pt>
                <c:pt idx="756">
                  <c:v>37237</c:v>
                </c:pt>
                <c:pt idx="757">
                  <c:v>37238</c:v>
                </c:pt>
                <c:pt idx="758">
                  <c:v>37239</c:v>
                </c:pt>
                <c:pt idx="759">
                  <c:v>37242</c:v>
                </c:pt>
                <c:pt idx="760">
                  <c:v>37243</c:v>
                </c:pt>
                <c:pt idx="761">
                  <c:v>37244</c:v>
                </c:pt>
                <c:pt idx="762">
                  <c:v>37245</c:v>
                </c:pt>
                <c:pt idx="763">
                  <c:v>37246</c:v>
                </c:pt>
                <c:pt idx="764">
                  <c:v>37249</c:v>
                </c:pt>
                <c:pt idx="765">
                  <c:v>37252</c:v>
                </c:pt>
                <c:pt idx="766">
                  <c:v>37253</c:v>
                </c:pt>
                <c:pt idx="767">
                  <c:v>37258</c:v>
                </c:pt>
                <c:pt idx="768">
                  <c:v>37259</c:v>
                </c:pt>
                <c:pt idx="769">
                  <c:v>37260</c:v>
                </c:pt>
                <c:pt idx="770">
                  <c:v>37263</c:v>
                </c:pt>
                <c:pt idx="771">
                  <c:v>37264</c:v>
                </c:pt>
                <c:pt idx="772">
                  <c:v>37265</c:v>
                </c:pt>
                <c:pt idx="773">
                  <c:v>37266</c:v>
                </c:pt>
                <c:pt idx="774">
                  <c:v>37267</c:v>
                </c:pt>
                <c:pt idx="775">
                  <c:v>37270</c:v>
                </c:pt>
                <c:pt idx="776">
                  <c:v>37271</c:v>
                </c:pt>
                <c:pt idx="777">
                  <c:v>37272</c:v>
                </c:pt>
                <c:pt idx="778">
                  <c:v>37273</c:v>
                </c:pt>
                <c:pt idx="779">
                  <c:v>37274</c:v>
                </c:pt>
                <c:pt idx="780">
                  <c:v>37277</c:v>
                </c:pt>
                <c:pt idx="781">
                  <c:v>37278</c:v>
                </c:pt>
                <c:pt idx="782">
                  <c:v>37279</c:v>
                </c:pt>
                <c:pt idx="783">
                  <c:v>37280</c:v>
                </c:pt>
                <c:pt idx="784">
                  <c:v>37281</c:v>
                </c:pt>
                <c:pt idx="785">
                  <c:v>37284</c:v>
                </c:pt>
                <c:pt idx="786">
                  <c:v>37285</c:v>
                </c:pt>
                <c:pt idx="787">
                  <c:v>37286</c:v>
                </c:pt>
                <c:pt idx="788">
                  <c:v>37287</c:v>
                </c:pt>
                <c:pt idx="789">
                  <c:v>37288</c:v>
                </c:pt>
                <c:pt idx="790">
                  <c:v>37291</c:v>
                </c:pt>
                <c:pt idx="791">
                  <c:v>37292</c:v>
                </c:pt>
                <c:pt idx="792">
                  <c:v>37293</c:v>
                </c:pt>
                <c:pt idx="793">
                  <c:v>37294</c:v>
                </c:pt>
                <c:pt idx="794">
                  <c:v>37295</c:v>
                </c:pt>
                <c:pt idx="795">
                  <c:v>37298</c:v>
                </c:pt>
                <c:pt idx="796">
                  <c:v>37299</c:v>
                </c:pt>
                <c:pt idx="797">
                  <c:v>37300</c:v>
                </c:pt>
                <c:pt idx="798">
                  <c:v>37301</c:v>
                </c:pt>
                <c:pt idx="799">
                  <c:v>37302</c:v>
                </c:pt>
                <c:pt idx="800">
                  <c:v>37305</c:v>
                </c:pt>
                <c:pt idx="801">
                  <c:v>37306</c:v>
                </c:pt>
                <c:pt idx="802">
                  <c:v>37307</c:v>
                </c:pt>
                <c:pt idx="803">
                  <c:v>37308</c:v>
                </c:pt>
                <c:pt idx="804">
                  <c:v>37309</c:v>
                </c:pt>
                <c:pt idx="805">
                  <c:v>37312</c:v>
                </c:pt>
                <c:pt idx="806">
                  <c:v>37313</c:v>
                </c:pt>
                <c:pt idx="807">
                  <c:v>37314</c:v>
                </c:pt>
                <c:pt idx="808">
                  <c:v>37315</c:v>
                </c:pt>
                <c:pt idx="809">
                  <c:v>37316</c:v>
                </c:pt>
                <c:pt idx="810">
                  <c:v>37319</c:v>
                </c:pt>
                <c:pt idx="811">
                  <c:v>37320</c:v>
                </c:pt>
                <c:pt idx="812">
                  <c:v>37321</c:v>
                </c:pt>
                <c:pt idx="813">
                  <c:v>37322</c:v>
                </c:pt>
                <c:pt idx="814">
                  <c:v>37323</c:v>
                </c:pt>
                <c:pt idx="815">
                  <c:v>37326</c:v>
                </c:pt>
                <c:pt idx="816">
                  <c:v>37327</c:v>
                </c:pt>
                <c:pt idx="817">
                  <c:v>37328</c:v>
                </c:pt>
                <c:pt idx="818">
                  <c:v>37329</c:v>
                </c:pt>
                <c:pt idx="819">
                  <c:v>37330</c:v>
                </c:pt>
                <c:pt idx="820">
                  <c:v>37333</c:v>
                </c:pt>
                <c:pt idx="821">
                  <c:v>37334</c:v>
                </c:pt>
                <c:pt idx="822">
                  <c:v>37335</c:v>
                </c:pt>
                <c:pt idx="823">
                  <c:v>37336</c:v>
                </c:pt>
                <c:pt idx="824">
                  <c:v>37337</c:v>
                </c:pt>
                <c:pt idx="825">
                  <c:v>37340</c:v>
                </c:pt>
                <c:pt idx="826">
                  <c:v>37341</c:v>
                </c:pt>
                <c:pt idx="827">
                  <c:v>37342</c:v>
                </c:pt>
                <c:pt idx="828">
                  <c:v>37343</c:v>
                </c:pt>
                <c:pt idx="829">
                  <c:v>37348</c:v>
                </c:pt>
                <c:pt idx="830">
                  <c:v>37349</c:v>
                </c:pt>
                <c:pt idx="831">
                  <c:v>37350</c:v>
                </c:pt>
                <c:pt idx="832">
                  <c:v>37351</c:v>
                </c:pt>
                <c:pt idx="833">
                  <c:v>37354</c:v>
                </c:pt>
                <c:pt idx="834">
                  <c:v>37355</c:v>
                </c:pt>
                <c:pt idx="835">
                  <c:v>37356</c:v>
                </c:pt>
                <c:pt idx="836">
                  <c:v>37357</c:v>
                </c:pt>
                <c:pt idx="837">
                  <c:v>37358</c:v>
                </c:pt>
                <c:pt idx="838">
                  <c:v>37361</c:v>
                </c:pt>
                <c:pt idx="839">
                  <c:v>37362</c:v>
                </c:pt>
                <c:pt idx="840">
                  <c:v>37363</c:v>
                </c:pt>
                <c:pt idx="841">
                  <c:v>37364</c:v>
                </c:pt>
                <c:pt idx="842">
                  <c:v>37365</c:v>
                </c:pt>
                <c:pt idx="843">
                  <c:v>37368</c:v>
                </c:pt>
                <c:pt idx="844">
                  <c:v>37369</c:v>
                </c:pt>
                <c:pt idx="845">
                  <c:v>37370</c:v>
                </c:pt>
                <c:pt idx="846">
                  <c:v>37371</c:v>
                </c:pt>
                <c:pt idx="847">
                  <c:v>37372</c:v>
                </c:pt>
                <c:pt idx="848">
                  <c:v>37375</c:v>
                </c:pt>
                <c:pt idx="849">
                  <c:v>37376</c:v>
                </c:pt>
                <c:pt idx="850">
                  <c:v>37378</c:v>
                </c:pt>
                <c:pt idx="851">
                  <c:v>37379</c:v>
                </c:pt>
                <c:pt idx="852">
                  <c:v>37382</c:v>
                </c:pt>
                <c:pt idx="853">
                  <c:v>37383</c:v>
                </c:pt>
                <c:pt idx="854">
                  <c:v>37384</c:v>
                </c:pt>
                <c:pt idx="855">
                  <c:v>37385</c:v>
                </c:pt>
                <c:pt idx="856">
                  <c:v>37386</c:v>
                </c:pt>
                <c:pt idx="857">
                  <c:v>37389</c:v>
                </c:pt>
                <c:pt idx="858">
                  <c:v>37390</c:v>
                </c:pt>
                <c:pt idx="859">
                  <c:v>37391</c:v>
                </c:pt>
                <c:pt idx="860">
                  <c:v>37392</c:v>
                </c:pt>
                <c:pt idx="861">
                  <c:v>37396</c:v>
                </c:pt>
                <c:pt idx="862">
                  <c:v>37397</c:v>
                </c:pt>
                <c:pt idx="863">
                  <c:v>37398</c:v>
                </c:pt>
                <c:pt idx="864">
                  <c:v>37399</c:v>
                </c:pt>
                <c:pt idx="865">
                  <c:v>37400</c:v>
                </c:pt>
                <c:pt idx="866">
                  <c:v>37403</c:v>
                </c:pt>
                <c:pt idx="867">
                  <c:v>37404</c:v>
                </c:pt>
                <c:pt idx="868">
                  <c:v>37405</c:v>
                </c:pt>
                <c:pt idx="869">
                  <c:v>37406</c:v>
                </c:pt>
                <c:pt idx="870">
                  <c:v>37407</c:v>
                </c:pt>
                <c:pt idx="871">
                  <c:v>37410</c:v>
                </c:pt>
                <c:pt idx="872">
                  <c:v>37411</c:v>
                </c:pt>
                <c:pt idx="873">
                  <c:v>37412</c:v>
                </c:pt>
                <c:pt idx="874">
                  <c:v>37413</c:v>
                </c:pt>
                <c:pt idx="875">
                  <c:v>37414</c:v>
                </c:pt>
                <c:pt idx="876">
                  <c:v>37417</c:v>
                </c:pt>
                <c:pt idx="877">
                  <c:v>37418</c:v>
                </c:pt>
                <c:pt idx="878">
                  <c:v>37419</c:v>
                </c:pt>
                <c:pt idx="879">
                  <c:v>37420</c:v>
                </c:pt>
                <c:pt idx="880">
                  <c:v>37421</c:v>
                </c:pt>
                <c:pt idx="881">
                  <c:v>37424</c:v>
                </c:pt>
                <c:pt idx="882">
                  <c:v>37425</c:v>
                </c:pt>
                <c:pt idx="883">
                  <c:v>37426</c:v>
                </c:pt>
                <c:pt idx="884">
                  <c:v>37427</c:v>
                </c:pt>
                <c:pt idx="885">
                  <c:v>37428</c:v>
                </c:pt>
                <c:pt idx="886">
                  <c:v>37431</c:v>
                </c:pt>
                <c:pt idx="887">
                  <c:v>37432</c:v>
                </c:pt>
                <c:pt idx="888">
                  <c:v>37433</c:v>
                </c:pt>
                <c:pt idx="889">
                  <c:v>37434</c:v>
                </c:pt>
                <c:pt idx="890">
                  <c:v>37435</c:v>
                </c:pt>
                <c:pt idx="891">
                  <c:v>37438</c:v>
                </c:pt>
                <c:pt idx="892">
                  <c:v>37439</c:v>
                </c:pt>
                <c:pt idx="893">
                  <c:v>37440</c:v>
                </c:pt>
                <c:pt idx="894">
                  <c:v>37441</c:v>
                </c:pt>
                <c:pt idx="895">
                  <c:v>37442</c:v>
                </c:pt>
                <c:pt idx="896">
                  <c:v>37445</c:v>
                </c:pt>
                <c:pt idx="897">
                  <c:v>37446</c:v>
                </c:pt>
                <c:pt idx="898">
                  <c:v>37447</c:v>
                </c:pt>
                <c:pt idx="899">
                  <c:v>37448</c:v>
                </c:pt>
                <c:pt idx="900">
                  <c:v>37449</c:v>
                </c:pt>
                <c:pt idx="901">
                  <c:v>37452</c:v>
                </c:pt>
                <c:pt idx="902">
                  <c:v>37453</c:v>
                </c:pt>
                <c:pt idx="903">
                  <c:v>37454</c:v>
                </c:pt>
                <c:pt idx="904">
                  <c:v>37455</c:v>
                </c:pt>
                <c:pt idx="905">
                  <c:v>37456</c:v>
                </c:pt>
                <c:pt idx="906">
                  <c:v>37459</c:v>
                </c:pt>
                <c:pt idx="907">
                  <c:v>37460</c:v>
                </c:pt>
                <c:pt idx="908">
                  <c:v>37461</c:v>
                </c:pt>
                <c:pt idx="909">
                  <c:v>37462</c:v>
                </c:pt>
                <c:pt idx="910">
                  <c:v>37463</c:v>
                </c:pt>
                <c:pt idx="911">
                  <c:v>37466</c:v>
                </c:pt>
                <c:pt idx="912">
                  <c:v>37467</c:v>
                </c:pt>
                <c:pt idx="913">
                  <c:v>37468</c:v>
                </c:pt>
                <c:pt idx="914">
                  <c:v>37469</c:v>
                </c:pt>
                <c:pt idx="915">
                  <c:v>37470</c:v>
                </c:pt>
                <c:pt idx="916">
                  <c:v>37473</c:v>
                </c:pt>
                <c:pt idx="917">
                  <c:v>37474</c:v>
                </c:pt>
                <c:pt idx="918">
                  <c:v>37475</c:v>
                </c:pt>
                <c:pt idx="919">
                  <c:v>37476</c:v>
                </c:pt>
                <c:pt idx="920">
                  <c:v>37477</c:v>
                </c:pt>
                <c:pt idx="921">
                  <c:v>37480</c:v>
                </c:pt>
                <c:pt idx="922">
                  <c:v>37481</c:v>
                </c:pt>
                <c:pt idx="923">
                  <c:v>37482</c:v>
                </c:pt>
                <c:pt idx="924">
                  <c:v>37483</c:v>
                </c:pt>
                <c:pt idx="925">
                  <c:v>37484</c:v>
                </c:pt>
                <c:pt idx="926">
                  <c:v>37487</c:v>
                </c:pt>
                <c:pt idx="927">
                  <c:v>37488</c:v>
                </c:pt>
                <c:pt idx="928">
                  <c:v>37489</c:v>
                </c:pt>
                <c:pt idx="929">
                  <c:v>37490</c:v>
                </c:pt>
                <c:pt idx="930">
                  <c:v>37491</c:v>
                </c:pt>
                <c:pt idx="931">
                  <c:v>37494</c:v>
                </c:pt>
                <c:pt idx="932">
                  <c:v>37495</c:v>
                </c:pt>
                <c:pt idx="933">
                  <c:v>37496</c:v>
                </c:pt>
                <c:pt idx="934">
                  <c:v>37497</c:v>
                </c:pt>
                <c:pt idx="935">
                  <c:v>37498</c:v>
                </c:pt>
                <c:pt idx="936">
                  <c:v>37501</c:v>
                </c:pt>
                <c:pt idx="937">
                  <c:v>37502</c:v>
                </c:pt>
                <c:pt idx="938">
                  <c:v>37503</c:v>
                </c:pt>
                <c:pt idx="939">
                  <c:v>37504</c:v>
                </c:pt>
                <c:pt idx="940">
                  <c:v>37505</c:v>
                </c:pt>
                <c:pt idx="941">
                  <c:v>37508</c:v>
                </c:pt>
                <c:pt idx="942">
                  <c:v>37509</c:v>
                </c:pt>
                <c:pt idx="943">
                  <c:v>37510</c:v>
                </c:pt>
                <c:pt idx="944">
                  <c:v>37511</c:v>
                </c:pt>
                <c:pt idx="945">
                  <c:v>37512</c:v>
                </c:pt>
                <c:pt idx="946">
                  <c:v>37515</c:v>
                </c:pt>
                <c:pt idx="947">
                  <c:v>37516</c:v>
                </c:pt>
                <c:pt idx="948">
                  <c:v>37517</c:v>
                </c:pt>
                <c:pt idx="949">
                  <c:v>37518</c:v>
                </c:pt>
                <c:pt idx="950">
                  <c:v>37522</c:v>
                </c:pt>
                <c:pt idx="951">
                  <c:v>37523</c:v>
                </c:pt>
                <c:pt idx="952">
                  <c:v>37524</c:v>
                </c:pt>
                <c:pt idx="953">
                  <c:v>37525</c:v>
                </c:pt>
                <c:pt idx="954">
                  <c:v>37526</c:v>
                </c:pt>
                <c:pt idx="955">
                  <c:v>37529</c:v>
                </c:pt>
                <c:pt idx="956">
                  <c:v>37530</c:v>
                </c:pt>
                <c:pt idx="957">
                  <c:v>37531</c:v>
                </c:pt>
                <c:pt idx="958">
                  <c:v>37532</c:v>
                </c:pt>
                <c:pt idx="959">
                  <c:v>37533</c:v>
                </c:pt>
                <c:pt idx="960">
                  <c:v>37536</c:v>
                </c:pt>
                <c:pt idx="961">
                  <c:v>37537</c:v>
                </c:pt>
                <c:pt idx="962">
                  <c:v>37538</c:v>
                </c:pt>
                <c:pt idx="963">
                  <c:v>37539</c:v>
                </c:pt>
                <c:pt idx="964">
                  <c:v>37540</c:v>
                </c:pt>
                <c:pt idx="965">
                  <c:v>37543</c:v>
                </c:pt>
                <c:pt idx="966">
                  <c:v>37544</c:v>
                </c:pt>
                <c:pt idx="967">
                  <c:v>37545</c:v>
                </c:pt>
                <c:pt idx="968">
                  <c:v>37546</c:v>
                </c:pt>
                <c:pt idx="969">
                  <c:v>37547</c:v>
                </c:pt>
                <c:pt idx="970">
                  <c:v>37550</c:v>
                </c:pt>
                <c:pt idx="971">
                  <c:v>37551</c:v>
                </c:pt>
                <c:pt idx="972">
                  <c:v>37552</c:v>
                </c:pt>
                <c:pt idx="973">
                  <c:v>37553</c:v>
                </c:pt>
                <c:pt idx="974">
                  <c:v>37554</c:v>
                </c:pt>
                <c:pt idx="975">
                  <c:v>37557</c:v>
                </c:pt>
                <c:pt idx="976">
                  <c:v>37558</c:v>
                </c:pt>
                <c:pt idx="977">
                  <c:v>37559</c:v>
                </c:pt>
                <c:pt idx="978">
                  <c:v>37560</c:v>
                </c:pt>
                <c:pt idx="979">
                  <c:v>37561</c:v>
                </c:pt>
                <c:pt idx="980">
                  <c:v>37564</c:v>
                </c:pt>
                <c:pt idx="981">
                  <c:v>37565</c:v>
                </c:pt>
                <c:pt idx="982">
                  <c:v>37566</c:v>
                </c:pt>
                <c:pt idx="983">
                  <c:v>37567</c:v>
                </c:pt>
                <c:pt idx="984">
                  <c:v>37568</c:v>
                </c:pt>
                <c:pt idx="985">
                  <c:v>37571</c:v>
                </c:pt>
                <c:pt idx="986">
                  <c:v>37572</c:v>
                </c:pt>
                <c:pt idx="987">
                  <c:v>37573</c:v>
                </c:pt>
                <c:pt idx="988">
                  <c:v>37574</c:v>
                </c:pt>
                <c:pt idx="989">
                  <c:v>37575</c:v>
                </c:pt>
                <c:pt idx="990">
                  <c:v>37578</c:v>
                </c:pt>
                <c:pt idx="991">
                  <c:v>37579</c:v>
                </c:pt>
                <c:pt idx="992">
                  <c:v>37580</c:v>
                </c:pt>
                <c:pt idx="993">
                  <c:v>37581</c:v>
                </c:pt>
                <c:pt idx="994">
                  <c:v>37582</c:v>
                </c:pt>
                <c:pt idx="995">
                  <c:v>37585</c:v>
                </c:pt>
                <c:pt idx="996">
                  <c:v>37586</c:v>
                </c:pt>
                <c:pt idx="997">
                  <c:v>37587</c:v>
                </c:pt>
                <c:pt idx="998">
                  <c:v>37588</c:v>
                </c:pt>
                <c:pt idx="999">
                  <c:v>37589</c:v>
                </c:pt>
                <c:pt idx="1000">
                  <c:v>37592</c:v>
                </c:pt>
                <c:pt idx="1001">
                  <c:v>37593</c:v>
                </c:pt>
                <c:pt idx="1002">
                  <c:v>37594</c:v>
                </c:pt>
                <c:pt idx="1003">
                  <c:v>37595</c:v>
                </c:pt>
                <c:pt idx="1004">
                  <c:v>37596</c:v>
                </c:pt>
                <c:pt idx="1005">
                  <c:v>37599</c:v>
                </c:pt>
                <c:pt idx="1006">
                  <c:v>37600</c:v>
                </c:pt>
                <c:pt idx="1007">
                  <c:v>37601</c:v>
                </c:pt>
                <c:pt idx="1008">
                  <c:v>37602</c:v>
                </c:pt>
                <c:pt idx="1009">
                  <c:v>37603</c:v>
                </c:pt>
                <c:pt idx="1010">
                  <c:v>37606</c:v>
                </c:pt>
                <c:pt idx="1011">
                  <c:v>37607</c:v>
                </c:pt>
                <c:pt idx="1012">
                  <c:v>37608</c:v>
                </c:pt>
                <c:pt idx="1013">
                  <c:v>37609</c:v>
                </c:pt>
                <c:pt idx="1014">
                  <c:v>37610</c:v>
                </c:pt>
                <c:pt idx="1015">
                  <c:v>37613</c:v>
                </c:pt>
                <c:pt idx="1016">
                  <c:v>37614</c:v>
                </c:pt>
                <c:pt idx="1017">
                  <c:v>37617</c:v>
                </c:pt>
                <c:pt idx="1018">
                  <c:v>37620</c:v>
                </c:pt>
                <c:pt idx="1019">
                  <c:v>37621</c:v>
                </c:pt>
                <c:pt idx="1020">
                  <c:v>37623</c:v>
                </c:pt>
                <c:pt idx="1021">
                  <c:v>37624</c:v>
                </c:pt>
                <c:pt idx="1022">
                  <c:v>37627</c:v>
                </c:pt>
                <c:pt idx="1023">
                  <c:v>37628</c:v>
                </c:pt>
                <c:pt idx="1024">
                  <c:v>37629</c:v>
                </c:pt>
                <c:pt idx="1025">
                  <c:v>37630</c:v>
                </c:pt>
                <c:pt idx="1026">
                  <c:v>37631</c:v>
                </c:pt>
                <c:pt idx="1027">
                  <c:v>37634</c:v>
                </c:pt>
                <c:pt idx="1028">
                  <c:v>37635</c:v>
                </c:pt>
                <c:pt idx="1029">
                  <c:v>37636</c:v>
                </c:pt>
                <c:pt idx="1030">
                  <c:v>37637</c:v>
                </c:pt>
                <c:pt idx="1031">
                  <c:v>37638</c:v>
                </c:pt>
                <c:pt idx="1032">
                  <c:v>37641</c:v>
                </c:pt>
                <c:pt idx="1033">
                  <c:v>37642</c:v>
                </c:pt>
                <c:pt idx="1034">
                  <c:v>37643</c:v>
                </c:pt>
                <c:pt idx="1035">
                  <c:v>37644</c:v>
                </c:pt>
                <c:pt idx="1036">
                  <c:v>37645</c:v>
                </c:pt>
                <c:pt idx="1037">
                  <c:v>37648</c:v>
                </c:pt>
                <c:pt idx="1038">
                  <c:v>37649</c:v>
                </c:pt>
                <c:pt idx="1039">
                  <c:v>37650</c:v>
                </c:pt>
                <c:pt idx="1040">
                  <c:v>37651</c:v>
                </c:pt>
                <c:pt idx="1041">
                  <c:v>37652</c:v>
                </c:pt>
                <c:pt idx="1042">
                  <c:v>37655</c:v>
                </c:pt>
                <c:pt idx="1043">
                  <c:v>37656</c:v>
                </c:pt>
                <c:pt idx="1044">
                  <c:v>37657</c:v>
                </c:pt>
                <c:pt idx="1045">
                  <c:v>37658</c:v>
                </c:pt>
                <c:pt idx="1046">
                  <c:v>37659</c:v>
                </c:pt>
                <c:pt idx="1047">
                  <c:v>37662</c:v>
                </c:pt>
                <c:pt idx="1048">
                  <c:v>37663</c:v>
                </c:pt>
                <c:pt idx="1049">
                  <c:v>37664</c:v>
                </c:pt>
                <c:pt idx="1050">
                  <c:v>37665</c:v>
                </c:pt>
                <c:pt idx="1051">
                  <c:v>37666</c:v>
                </c:pt>
                <c:pt idx="1052">
                  <c:v>37669</c:v>
                </c:pt>
                <c:pt idx="1053">
                  <c:v>37670</c:v>
                </c:pt>
                <c:pt idx="1054">
                  <c:v>37671</c:v>
                </c:pt>
                <c:pt idx="1055">
                  <c:v>37672</c:v>
                </c:pt>
                <c:pt idx="1056">
                  <c:v>37673</c:v>
                </c:pt>
                <c:pt idx="1057">
                  <c:v>37676</c:v>
                </c:pt>
                <c:pt idx="1058">
                  <c:v>37677</c:v>
                </c:pt>
                <c:pt idx="1059">
                  <c:v>37678</c:v>
                </c:pt>
                <c:pt idx="1060">
                  <c:v>37679</c:v>
                </c:pt>
                <c:pt idx="1061">
                  <c:v>37680</c:v>
                </c:pt>
                <c:pt idx="1062">
                  <c:v>37683</c:v>
                </c:pt>
                <c:pt idx="1063">
                  <c:v>37684</c:v>
                </c:pt>
                <c:pt idx="1064">
                  <c:v>37685</c:v>
                </c:pt>
                <c:pt idx="1065">
                  <c:v>37686</c:v>
                </c:pt>
                <c:pt idx="1066">
                  <c:v>37687</c:v>
                </c:pt>
                <c:pt idx="1067">
                  <c:v>37690</c:v>
                </c:pt>
                <c:pt idx="1068">
                  <c:v>37691</c:v>
                </c:pt>
                <c:pt idx="1069">
                  <c:v>37692</c:v>
                </c:pt>
                <c:pt idx="1070">
                  <c:v>37693</c:v>
                </c:pt>
                <c:pt idx="1071">
                  <c:v>37694</c:v>
                </c:pt>
                <c:pt idx="1072">
                  <c:v>37697</c:v>
                </c:pt>
                <c:pt idx="1073">
                  <c:v>37698</c:v>
                </c:pt>
                <c:pt idx="1074">
                  <c:v>37699</c:v>
                </c:pt>
                <c:pt idx="1075">
                  <c:v>37700</c:v>
                </c:pt>
                <c:pt idx="1076">
                  <c:v>37701</c:v>
                </c:pt>
                <c:pt idx="1077">
                  <c:v>37704</c:v>
                </c:pt>
                <c:pt idx="1078">
                  <c:v>37705</c:v>
                </c:pt>
                <c:pt idx="1079">
                  <c:v>37706</c:v>
                </c:pt>
                <c:pt idx="1080">
                  <c:v>37707</c:v>
                </c:pt>
                <c:pt idx="1081">
                  <c:v>37708</c:v>
                </c:pt>
                <c:pt idx="1082">
                  <c:v>37711</c:v>
                </c:pt>
                <c:pt idx="1083">
                  <c:v>37712</c:v>
                </c:pt>
                <c:pt idx="1084">
                  <c:v>37713</c:v>
                </c:pt>
                <c:pt idx="1085">
                  <c:v>37714</c:v>
                </c:pt>
                <c:pt idx="1086">
                  <c:v>37715</c:v>
                </c:pt>
                <c:pt idx="1087">
                  <c:v>37718</c:v>
                </c:pt>
                <c:pt idx="1088">
                  <c:v>37719</c:v>
                </c:pt>
                <c:pt idx="1089">
                  <c:v>37720</c:v>
                </c:pt>
                <c:pt idx="1090">
                  <c:v>37721</c:v>
                </c:pt>
                <c:pt idx="1091">
                  <c:v>37722</c:v>
                </c:pt>
                <c:pt idx="1092">
                  <c:v>37725</c:v>
                </c:pt>
                <c:pt idx="1093">
                  <c:v>37726</c:v>
                </c:pt>
                <c:pt idx="1094">
                  <c:v>37727</c:v>
                </c:pt>
                <c:pt idx="1095">
                  <c:v>37728</c:v>
                </c:pt>
                <c:pt idx="1096">
                  <c:v>37729</c:v>
                </c:pt>
                <c:pt idx="1097">
                  <c:v>37733</c:v>
                </c:pt>
                <c:pt idx="1098">
                  <c:v>37734</c:v>
                </c:pt>
                <c:pt idx="1099">
                  <c:v>37735</c:v>
                </c:pt>
                <c:pt idx="1100">
                  <c:v>37736</c:v>
                </c:pt>
                <c:pt idx="1101">
                  <c:v>37739</c:v>
                </c:pt>
                <c:pt idx="1102">
                  <c:v>37740</c:v>
                </c:pt>
                <c:pt idx="1103">
                  <c:v>37741</c:v>
                </c:pt>
                <c:pt idx="1104">
                  <c:v>37743</c:v>
                </c:pt>
                <c:pt idx="1105">
                  <c:v>37746</c:v>
                </c:pt>
                <c:pt idx="1106">
                  <c:v>37747</c:v>
                </c:pt>
                <c:pt idx="1107">
                  <c:v>37748</c:v>
                </c:pt>
                <c:pt idx="1108">
                  <c:v>37749</c:v>
                </c:pt>
                <c:pt idx="1109">
                  <c:v>37750</c:v>
                </c:pt>
                <c:pt idx="1110">
                  <c:v>37753</c:v>
                </c:pt>
                <c:pt idx="1111">
                  <c:v>37754</c:v>
                </c:pt>
                <c:pt idx="1112">
                  <c:v>37755</c:v>
                </c:pt>
                <c:pt idx="1113">
                  <c:v>37756</c:v>
                </c:pt>
                <c:pt idx="1114">
                  <c:v>37757</c:v>
                </c:pt>
                <c:pt idx="1115">
                  <c:v>37760</c:v>
                </c:pt>
                <c:pt idx="1116">
                  <c:v>37761</c:v>
                </c:pt>
                <c:pt idx="1117">
                  <c:v>37762</c:v>
                </c:pt>
                <c:pt idx="1118">
                  <c:v>37763</c:v>
                </c:pt>
                <c:pt idx="1119">
                  <c:v>37764</c:v>
                </c:pt>
                <c:pt idx="1120">
                  <c:v>37767</c:v>
                </c:pt>
                <c:pt idx="1121">
                  <c:v>37768</c:v>
                </c:pt>
                <c:pt idx="1122">
                  <c:v>37769</c:v>
                </c:pt>
                <c:pt idx="1123">
                  <c:v>37770</c:v>
                </c:pt>
                <c:pt idx="1124">
                  <c:v>37771</c:v>
                </c:pt>
                <c:pt idx="1125">
                  <c:v>37774</c:v>
                </c:pt>
                <c:pt idx="1126">
                  <c:v>37775</c:v>
                </c:pt>
                <c:pt idx="1127">
                  <c:v>37776</c:v>
                </c:pt>
                <c:pt idx="1128">
                  <c:v>37777</c:v>
                </c:pt>
                <c:pt idx="1129">
                  <c:v>37778</c:v>
                </c:pt>
                <c:pt idx="1130">
                  <c:v>37781</c:v>
                </c:pt>
                <c:pt idx="1131">
                  <c:v>37782</c:v>
                </c:pt>
                <c:pt idx="1132">
                  <c:v>37783</c:v>
                </c:pt>
                <c:pt idx="1133">
                  <c:v>37784</c:v>
                </c:pt>
                <c:pt idx="1134">
                  <c:v>37785</c:v>
                </c:pt>
                <c:pt idx="1135">
                  <c:v>37788</c:v>
                </c:pt>
                <c:pt idx="1136">
                  <c:v>37789</c:v>
                </c:pt>
                <c:pt idx="1137">
                  <c:v>37790</c:v>
                </c:pt>
                <c:pt idx="1138">
                  <c:v>37791</c:v>
                </c:pt>
                <c:pt idx="1139">
                  <c:v>37792</c:v>
                </c:pt>
                <c:pt idx="1140">
                  <c:v>37795</c:v>
                </c:pt>
                <c:pt idx="1141">
                  <c:v>37796</c:v>
                </c:pt>
                <c:pt idx="1142">
                  <c:v>37797</c:v>
                </c:pt>
                <c:pt idx="1143">
                  <c:v>37798</c:v>
                </c:pt>
                <c:pt idx="1144">
                  <c:v>37799</c:v>
                </c:pt>
                <c:pt idx="1145">
                  <c:v>37802</c:v>
                </c:pt>
                <c:pt idx="1146">
                  <c:v>37803</c:v>
                </c:pt>
                <c:pt idx="1147">
                  <c:v>37804</c:v>
                </c:pt>
                <c:pt idx="1148">
                  <c:v>37805</c:v>
                </c:pt>
                <c:pt idx="1149">
                  <c:v>37806</c:v>
                </c:pt>
                <c:pt idx="1150">
                  <c:v>37809</c:v>
                </c:pt>
                <c:pt idx="1151">
                  <c:v>37810</c:v>
                </c:pt>
                <c:pt idx="1152">
                  <c:v>37811</c:v>
                </c:pt>
                <c:pt idx="1153">
                  <c:v>37812</c:v>
                </c:pt>
                <c:pt idx="1154">
                  <c:v>37813</c:v>
                </c:pt>
                <c:pt idx="1155">
                  <c:v>37816</c:v>
                </c:pt>
                <c:pt idx="1156">
                  <c:v>37817</c:v>
                </c:pt>
                <c:pt idx="1157">
                  <c:v>37818</c:v>
                </c:pt>
                <c:pt idx="1158">
                  <c:v>37819</c:v>
                </c:pt>
                <c:pt idx="1159">
                  <c:v>37820</c:v>
                </c:pt>
                <c:pt idx="1160">
                  <c:v>37823</c:v>
                </c:pt>
                <c:pt idx="1161">
                  <c:v>37824</c:v>
                </c:pt>
                <c:pt idx="1162">
                  <c:v>37825</c:v>
                </c:pt>
                <c:pt idx="1163">
                  <c:v>37826</c:v>
                </c:pt>
                <c:pt idx="1164">
                  <c:v>37827</c:v>
                </c:pt>
                <c:pt idx="1165">
                  <c:v>37830</c:v>
                </c:pt>
                <c:pt idx="1166">
                  <c:v>37831</c:v>
                </c:pt>
                <c:pt idx="1167">
                  <c:v>37832</c:v>
                </c:pt>
                <c:pt idx="1168">
                  <c:v>37833</c:v>
                </c:pt>
                <c:pt idx="1169">
                  <c:v>37834</c:v>
                </c:pt>
                <c:pt idx="1170">
                  <c:v>37837</c:v>
                </c:pt>
                <c:pt idx="1171">
                  <c:v>37838</c:v>
                </c:pt>
                <c:pt idx="1172">
                  <c:v>37839</c:v>
                </c:pt>
                <c:pt idx="1173">
                  <c:v>37840</c:v>
                </c:pt>
                <c:pt idx="1174">
                  <c:v>37841</c:v>
                </c:pt>
                <c:pt idx="1175">
                  <c:v>37844</c:v>
                </c:pt>
                <c:pt idx="1176">
                  <c:v>37845</c:v>
                </c:pt>
                <c:pt idx="1177">
                  <c:v>37846</c:v>
                </c:pt>
                <c:pt idx="1178">
                  <c:v>37847</c:v>
                </c:pt>
                <c:pt idx="1179">
                  <c:v>37848</c:v>
                </c:pt>
                <c:pt idx="1180">
                  <c:v>37851</c:v>
                </c:pt>
                <c:pt idx="1181">
                  <c:v>37852</c:v>
                </c:pt>
                <c:pt idx="1182">
                  <c:v>37853</c:v>
                </c:pt>
                <c:pt idx="1183">
                  <c:v>37854</c:v>
                </c:pt>
                <c:pt idx="1184">
                  <c:v>37855</c:v>
                </c:pt>
                <c:pt idx="1185">
                  <c:v>37858</c:v>
                </c:pt>
                <c:pt idx="1186">
                  <c:v>37859</c:v>
                </c:pt>
                <c:pt idx="1187">
                  <c:v>37860</c:v>
                </c:pt>
                <c:pt idx="1188">
                  <c:v>37861</c:v>
                </c:pt>
                <c:pt idx="1189">
                  <c:v>37862</c:v>
                </c:pt>
                <c:pt idx="1190">
                  <c:v>37865</c:v>
                </c:pt>
                <c:pt idx="1191">
                  <c:v>37866</c:v>
                </c:pt>
                <c:pt idx="1192">
                  <c:v>37867</c:v>
                </c:pt>
                <c:pt idx="1193">
                  <c:v>37868</c:v>
                </c:pt>
                <c:pt idx="1194">
                  <c:v>37869</c:v>
                </c:pt>
                <c:pt idx="1195">
                  <c:v>37872</c:v>
                </c:pt>
                <c:pt idx="1196">
                  <c:v>37873</c:v>
                </c:pt>
                <c:pt idx="1197">
                  <c:v>37874</c:v>
                </c:pt>
                <c:pt idx="1198">
                  <c:v>37875</c:v>
                </c:pt>
                <c:pt idx="1199">
                  <c:v>37876</c:v>
                </c:pt>
                <c:pt idx="1200">
                  <c:v>37879</c:v>
                </c:pt>
                <c:pt idx="1201">
                  <c:v>37880</c:v>
                </c:pt>
                <c:pt idx="1202">
                  <c:v>37881</c:v>
                </c:pt>
                <c:pt idx="1203">
                  <c:v>37882</c:v>
                </c:pt>
                <c:pt idx="1204">
                  <c:v>37883</c:v>
                </c:pt>
                <c:pt idx="1205">
                  <c:v>37886</c:v>
                </c:pt>
                <c:pt idx="1206">
                  <c:v>37887</c:v>
                </c:pt>
                <c:pt idx="1207">
                  <c:v>37888</c:v>
                </c:pt>
                <c:pt idx="1208">
                  <c:v>37889</c:v>
                </c:pt>
                <c:pt idx="1209">
                  <c:v>37890</c:v>
                </c:pt>
                <c:pt idx="1210">
                  <c:v>37893</c:v>
                </c:pt>
                <c:pt idx="1211">
                  <c:v>37894</c:v>
                </c:pt>
                <c:pt idx="1212">
                  <c:v>37895</c:v>
                </c:pt>
                <c:pt idx="1213">
                  <c:v>37896</c:v>
                </c:pt>
                <c:pt idx="1214">
                  <c:v>37897</c:v>
                </c:pt>
                <c:pt idx="1215">
                  <c:v>37900</c:v>
                </c:pt>
                <c:pt idx="1216">
                  <c:v>37901</c:v>
                </c:pt>
                <c:pt idx="1217">
                  <c:v>37902</c:v>
                </c:pt>
                <c:pt idx="1218">
                  <c:v>37903</c:v>
                </c:pt>
                <c:pt idx="1219">
                  <c:v>37904</c:v>
                </c:pt>
                <c:pt idx="1220">
                  <c:v>37907</c:v>
                </c:pt>
                <c:pt idx="1221">
                  <c:v>37908</c:v>
                </c:pt>
                <c:pt idx="1222">
                  <c:v>37909</c:v>
                </c:pt>
                <c:pt idx="1223">
                  <c:v>37910</c:v>
                </c:pt>
                <c:pt idx="1224">
                  <c:v>37911</c:v>
                </c:pt>
                <c:pt idx="1225">
                  <c:v>37914</c:v>
                </c:pt>
                <c:pt idx="1226">
                  <c:v>37915</c:v>
                </c:pt>
                <c:pt idx="1227">
                  <c:v>37916</c:v>
                </c:pt>
                <c:pt idx="1228">
                  <c:v>37917</c:v>
                </c:pt>
                <c:pt idx="1229">
                  <c:v>37918</c:v>
                </c:pt>
                <c:pt idx="1230">
                  <c:v>37921</c:v>
                </c:pt>
                <c:pt idx="1231">
                  <c:v>37922</c:v>
                </c:pt>
                <c:pt idx="1232">
                  <c:v>37923</c:v>
                </c:pt>
                <c:pt idx="1233">
                  <c:v>37924</c:v>
                </c:pt>
                <c:pt idx="1234">
                  <c:v>37925</c:v>
                </c:pt>
                <c:pt idx="1235">
                  <c:v>37928</c:v>
                </c:pt>
                <c:pt idx="1236">
                  <c:v>37929</c:v>
                </c:pt>
                <c:pt idx="1237">
                  <c:v>37930</c:v>
                </c:pt>
                <c:pt idx="1238">
                  <c:v>37931</c:v>
                </c:pt>
                <c:pt idx="1239">
                  <c:v>37932</c:v>
                </c:pt>
                <c:pt idx="1240">
                  <c:v>37935</c:v>
                </c:pt>
                <c:pt idx="1241">
                  <c:v>37936</c:v>
                </c:pt>
                <c:pt idx="1242">
                  <c:v>37937</c:v>
                </c:pt>
                <c:pt idx="1243">
                  <c:v>37938</c:v>
                </c:pt>
                <c:pt idx="1244">
                  <c:v>37939</c:v>
                </c:pt>
                <c:pt idx="1245">
                  <c:v>37942</c:v>
                </c:pt>
                <c:pt idx="1246">
                  <c:v>37943</c:v>
                </c:pt>
                <c:pt idx="1247">
                  <c:v>37944</c:v>
                </c:pt>
                <c:pt idx="1248">
                  <c:v>37945</c:v>
                </c:pt>
                <c:pt idx="1249">
                  <c:v>37946</c:v>
                </c:pt>
                <c:pt idx="1250">
                  <c:v>37949</c:v>
                </c:pt>
                <c:pt idx="1251">
                  <c:v>37950</c:v>
                </c:pt>
                <c:pt idx="1252">
                  <c:v>37951</c:v>
                </c:pt>
                <c:pt idx="1253">
                  <c:v>37952</c:v>
                </c:pt>
                <c:pt idx="1254">
                  <c:v>37953</c:v>
                </c:pt>
                <c:pt idx="1255">
                  <c:v>37956</c:v>
                </c:pt>
                <c:pt idx="1256">
                  <c:v>37957</c:v>
                </c:pt>
                <c:pt idx="1257">
                  <c:v>37958</c:v>
                </c:pt>
                <c:pt idx="1258">
                  <c:v>37959</c:v>
                </c:pt>
                <c:pt idx="1259">
                  <c:v>37960</c:v>
                </c:pt>
                <c:pt idx="1260">
                  <c:v>37963</c:v>
                </c:pt>
                <c:pt idx="1261">
                  <c:v>37964</c:v>
                </c:pt>
                <c:pt idx="1262">
                  <c:v>37965</c:v>
                </c:pt>
                <c:pt idx="1263">
                  <c:v>37966</c:v>
                </c:pt>
                <c:pt idx="1264">
                  <c:v>37967</c:v>
                </c:pt>
                <c:pt idx="1265">
                  <c:v>37970</c:v>
                </c:pt>
                <c:pt idx="1266">
                  <c:v>37971</c:v>
                </c:pt>
                <c:pt idx="1267">
                  <c:v>37972</c:v>
                </c:pt>
                <c:pt idx="1268">
                  <c:v>37973</c:v>
                </c:pt>
                <c:pt idx="1269">
                  <c:v>37974</c:v>
                </c:pt>
                <c:pt idx="1270">
                  <c:v>37977</c:v>
                </c:pt>
                <c:pt idx="1271">
                  <c:v>37978</c:v>
                </c:pt>
                <c:pt idx="1272">
                  <c:v>37979</c:v>
                </c:pt>
                <c:pt idx="1273">
                  <c:v>37984</c:v>
                </c:pt>
                <c:pt idx="1274">
                  <c:v>37985</c:v>
                </c:pt>
                <c:pt idx="1275">
                  <c:v>37986</c:v>
                </c:pt>
                <c:pt idx="1276">
                  <c:v>37988</c:v>
                </c:pt>
                <c:pt idx="1277">
                  <c:v>37991</c:v>
                </c:pt>
                <c:pt idx="1278">
                  <c:v>37992</c:v>
                </c:pt>
                <c:pt idx="1279">
                  <c:v>37993</c:v>
                </c:pt>
                <c:pt idx="1280">
                  <c:v>37994</c:v>
                </c:pt>
                <c:pt idx="1281">
                  <c:v>37995</c:v>
                </c:pt>
                <c:pt idx="1282">
                  <c:v>37998</c:v>
                </c:pt>
                <c:pt idx="1283">
                  <c:v>37999</c:v>
                </c:pt>
                <c:pt idx="1284">
                  <c:v>38000</c:v>
                </c:pt>
                <c:pt idx="1285">
                  <c:v>38001</c:v>
                </c:pt>
                <c:pt idx="1286">
                  <c:v>38002</c:v>
                </c:pt>
                <c:pt idx="1287">
                  <c:v>38005</c:v>
                </c:pt>
                <c:pt idx="1288">
                  <c:v>38006</c:v>
                </c:pt>
                <c:pt idx="1289">
                  <c:v>38007</c:v>
                </c:pt>
                <c:pt idx="1290">
                  <c:v>38008</c:v>
                </c:pt>
                <c:pt idx="1291">
                  <c:v>38009</c:v>
                </c:pt>
                <c:pt idx="1292">
                  <c:v>38012</c:v>
                </c:pt>
                <c:pt idx="1293">
                  <c:v>38013</c:v>
                </c:pt>
                <c:pt idx="1294">
                  <c:v>38014</c:v>
                </c:pt>
                <c:pt idx="1295">
                  <c:v>38015</c:v>
                </c:pt>
                <c:pt idx="1296">
                  <c:v>38016</c:v>
                </c:pt>
                <c:pt idx="1297">
                  <c:v>38019</c:v>
                </c:pt>
                <c:pt idx="1298">
                  <c:v>38020</c:v>
                </c:pt>
                <c:pt idx="1299">
                  <c:v>38021</c:v>
                </c:pt>
                <c:pt idx="1300">
                  <c:v>38022</c:v>
                </c:pt>
                <c:pt idx="1301">
                  <c:v>38023</c:v>
                </c:pt>
                <c:pt idx="1302">
                  <c:v>38026</c:v>
                </c:pt>
                <c:pt idx="1303">
                  <c:v>38027</c:v>
                </c:pt>
                <c:pt idx="1304">
                  <c:v>38028</c:v>
                </c:pt>
                <c:pt idx="1305">
                  <c:v>38029</c:v>
                </c:pt>
                <c:pt idx="1306">
                  <c:v>38030</c:v>
                </c:pt>
                <c:pt idx="1307">
                  <c:v>38033</c:v>
                </c:pt>
                <c:pt idx="1308">
                  <c:v>38034</c:v>
                </c:pt>
                <c:pt idx="1309">
                  <c:v>38035</c:v>
                </c:pt>
                <c:pt idx="1310">
                  <c:v>38036</c:v>
                </c:pt>
                <c:pt idx="1311">
                  <c:v>38037</c:v>
                </c:pt>
                <c:pt idx="1312">
                  <c:v>38040</c:v>
                </c:pt>
                <c:pt idx="1313">
                  <c:v>38041</c:v>
                </c:pt>
                <c:pt idx="1314">
                  <c:v>38042</c:v>
                </c:pt>
                <c:pt idx="1315">
                  <c:v>38043</c:v>
                </c:pt>
                <c:pt idx="1316">
                  <c:v>38044</c:v>
                </c:pt>
                <c:pt idx="1317">
                  <c:v>38047</c:v>
                </c:pt>
                <c:pt idx="1318">
                  <c:v>38048</c:v>
                </c:pt>
                <c:pt idx="1319">
                  <c:v>38049</c:v>
                </c:pt>
                <c:pt idx="1320">
                  <c:v>38050</c:v>
                </c:pt>
                <c:pt idx="1321">
                  <c:v>38051</c:v>
                </c:pt>
                <c:pt idx="1322">
                  <c:v>38054</c:v>
                </c:pt>
                <c:pt idx="1323">
                  <c:v>38055</c:v>
                </c:pt>
                <c:pt idx="1324">
                  <c:v>38056</c:v>
                </c:pt>
                <c:pt idx="1325">
                  <c:v>38057</c:v>
                </c:pt>
                <c:pt idx="1326">
                  <c:v>38058</c:v>
                </c:pt>
                <c:pt idx="1327">
                  <c:v>38061</c:v>
                </c:pt>
                <c:pt idx="1328">
                  <c:v>38062</c:v>
                </c:pt>
                <c:pt idx="1329">
                  <c:v>38063</c:v>
                </c:pt>
                <c:pt idx="1330">
                  <c:v>38064</c:v>
                </c:pt>
                <c:pt idx="1331">
                  <c:v>38065</c:v>
                </c:pt>
                <c:pt idx="1332">
                  <c:v>38068</c:v>
                </c:pt>
                <c:pt idx="1333">
                  <c:v>38069</c:v>
                </c:pt>
                <c:pt idx="1334">
                  <c:v>38070</c:v>
                </c:pt>
                <c:pt idx="1335">
                  <c:v>38071</c:v>
                </c:pt>
                <c:pt idx="1336">
                  <c:v>38072</c:v>
                </c:pt>
                <c:pt idx="1337">
                  <c:v>38075</c:v>
                </c:pt>
                <c:pt idx="1338">
                  <c:v>38076</c:v>
                </c:pt>
                <c:pt idx="1339">
                  <c:v>38077</c:v>
                </c:pt>
                <c:pt idx="1340">
                  <c:v>38078</c:v>
                </c:pt>
                <c:pt idx="1341">
                  <c:v>38079</c:v>
                </c:pt>
                <c:pt idx="1342">
                  <c:v>38082</c:v>
                </c:pt>
                <c:pt idx="1343">
                  <c:v>38083</c:v>
                </c:pt>
                <c:pt idx="1344">
                  <c:v>38084</c:v>
                </c:pt>
                <c:pt idx="1345">
                  <c:v>38085</c:v>
                </c:pt>
                <c:pt idx="1346">
                  <c:v>38090</c:v>
                </c:pt>
                <c:pt idx="1347">
                  <c:v>38091</c:v>
                </c:pt>
                <c:pt idx="1348">
                  <c:v>38092</c:v>
                </c:pt>
                <c:pt idx="1349">
                  <c:v>38093</c:v>
                </c:pt>
                <c:pt idx="1350">
                  <c:v>38096</c:v>
                </c:pt>
                <c:pt idx="1351">
                  <c:v>38097</c:v>
                </c:pt>
                <c:pt idx="1352">
                  <c:v>38098</c:v>
                </c:pt>
                <c:pt idx="1353">
                  <c:v>38099</c:v>
                </c:pt>
                <c:pt idx="1354">
                  <c:v>38100</c:v>
                </c:pt>
                <c:pt idx="1355">
                  <c:v>38103</c:v>
                </c:pt>
                <c:pt idx="1356">
                  <c:v>38104</c:v>
                </c:pt>
                <c:pt idx="1357">
                  <c:v>38105</c:v>
                </c:pt>
                <c:pt idx="1358">
                  <c:v>38106</c:v>
                </c:pt>
                <c:pt idx="1359">
                  <c:v>38107</c:v>
                </c:pt>
                <c:pt idx="1360">
                  <c:v>38110</c:v>
                </c:pt>
                <c:pt idx="1361">
                  <c:v>38111</c:v>
                </c:pt>
                <c:pt idx="1362">
                  <c:v>38112</c:v>
                </c:pt>
                <c:pt idx="1363">
                  <c:v>38113</c:v>
                </c:pt>
                <c:pt idx="1364">
                  <c:v>38114</c:v>
                </c:pt>
                <c:pt idx="1365">
                  <c:v>38117</c:v>
                </c:pt>
                <c:pt idx="1366">
                  <c:v>38118</c:v>
                </c:pt>
                <c:pt idx="1367">
                  <c:v>38119</c:v>
                </c:pt>
                <c:pt idx="1368">
                  <c:v>38120</c:v>
                </c:pt>
                <c:pt idx="1369">
                  <c:v>38121</c:v>
                </c:pt>
                <c:pt idx="1370">
                  <c:v>38124</c:v>
                </c:pt>
                <c:pt idx="1371">
                  <c:v>38125</c:v>
                </c:pt>
                <c:pt idx="1372">
                  <c:v>38126</c:v>
                </c:pt>
                <c:pt idx="1373">
                  <c:v>38127</c:v>
                </c:pt>
                <c:pt idx="1374">
                  <c:v>38128</c:v>
                </c:pt>
                <c:pt idx="1375">
                  <c:v>38131</c:v>
                </c:pt>
                <c:pt idx="1376">
                  <c:v>38132</c:v>
                </c:pt>
                <c:pt idx="1377">
                  <c:v>38133</c:v>
                </c:pt>
                <c:pt idx="1378">
                  <c:v>38134</c:v>
                </c:pt>
                <c:pt idx="1379">
                  <c:v>38135</c:v>
                </c:pt>
                <c:pt idx="1380">
                  <c:v>38138</c:v>
                </c:pt>
                <c:pt idx="1381">
                  <c:v>38139</c:v>
                </c:pt>
                <c:pt idx="1382">
                  <c:v>38140</c:v>
                </c:pt>
                <c:pt idx="1383">
                  <c:v>38141</c:v>
                </c:pt>
                <c:pt idx="1384">
                  <c:v>38142</c:v>
                </c:pt>
                <c:pt idx="1385">
                  <c:v>38145</c:v>
                </c:pt>
                <c:pt idx="1386">
                  <c:v>38146</c:v>
                </c:pt>
                <c:pt idx="1387">
                  <c:v>38147</c:v>
                </c:pt>
                <c:pt idx="1388">
                  <c:v>38148</c:v>
                </c:pt>
                <c:pt idx="1389">
                  <c:v>38149</c:v>
                </c:pt>
                <c:pt idx="1390">
                  <c:v>38152</c:v>
                </c:pt>
                <c:pt idx="1391">
                  <c:v>38153</c:v>
                </c:pt>
                <c:pt idx="1392">
                  <c:v>38154</c:v>
                </c:pt>
                <c:pt idx="1393">
                  <c:v>38155</c:v>
                </c:pt>
                <c:pt idx="1394">
                  <c:v>38156</c:v>
                </c:pt>
                <c:pt idx="1395">
                  <c:v>38159</c:v>
                </c:pt>
                <c:pt idx="1396">
                  <c:v>38160</c:v>
                </c:pt>
                <c:pt idx="1397">
                  <c:v>38161</c:v>
                </c:pt>
                <c:pt idx="1398">
                  <c:v>38162</c:v>
                </c:pt>
                <c:pt idx="1399">
                  <c:v>38163</c:v>
                </c:pt>
                <c:pt idx="1400">
                  <c:v>38166</c:v>
                </c:pt>
                <c:pt idx="1401">
                  <c:v>38167</c:v>
                </c:pt>
                <c:pt idx="1402">
                  <c:v>38168</c:v>
                </c:pt>
                <c:pt idx="1403">
                  <c:v>38169</c:v>
                </c:pt>
                <c:pt idx="1404">
                  <c:v>38170</c:v>
                </c:pt>
                <c:pt idx="1405">
                  <c:v>38173</c:v>
                </c:pt>
                <c:pt idx="1406">
                  <c:v>38174</c:v>
                </c:pt>
                <c:pt idx="1407">
                  <c:v>38175</c:v>
                </c:pt>
                <c:pt idx="1408">
                  <c:v>38176</c:v>
                </c:pt>
                <c:pt idx="1409">
                  <c:v>38177</c:v>
                </c:pt>
                <c:pt idx="1410">
                  <c:v>38180</c:v>
                </c:pt>
                <c:pt idx="1411">
                  <c:v>38181</c:v>
                </c:pt>
                <c:pt idx="1412">
                  <c:v>38182</c:v>
                </c:pt>
                <c:pt idx="1413">
                  <c:v>38183</c:v>
                </c:pt>
                <c:pt idx="1414">
                  <c:v>38184</c:v>
                </c:pt>
                <c:pt idx="1415">
                  <c:v>38187</c:v>
                </c:pt>
                <c:pt idx="1416">
                  <c:v>38188</c:v>
                </c:pt>
                <c:pt idx="1417">
                  <c:v>38189</c:v>
                </c:pt>
                <c:pt idx="1418">
                  <c:v>38190</c:v>
                </c:pt>
                <c:pt idx="1419">
                  <c:v>38191</c:v>
                </c:pt>
                <c:pt idx="1420">
                  <c:v>38194</c:v>
                </c:pt>
                <c:pt idx="1421">
                  <c:v>38195</c:v>
                </c:pt>
                <c:pt idx="1422">
                  <c:v>38196</c:v>
                </c:pt>
                <c:pt idx="1423">
                  <c:v>38197</c:v>
                </c:pt>
                <c:pt idx="1424">
                  <c:v>38198</c:v>
                </c:pt>
                <c:pt idx="1425">
                  <c:v>38201</c:v>
                </c:pt>
                <c:pt idx="1426">
                  <c:v>38202</c:v>
                </c:pt>
                <c:pt idx="1427">
                  <c:v>38203</c:v>
                </c:pt>
                <c:pt idx="1428">
                  <c:v>38204</c:v>
                </c:pt>
                <c:pt idx="1429">
                  <c:v>38205</c:v>
                </c:pt>
                <c:pt idx="1430">
                  <c:v>38208</c:v>
                </c:pt>
                <c:pt idx="1431">
                  <c:v>38209</c:v>
                </c:pt>
                <c:pt idx="1432">
                  <c:v>38210</c:v>
                </c:pt>
                <c:pt idx="1433">
                  <c:v>38211</c:v>
                </c:pt>
                <c:pt idx="1434">
                  <c:v>38212</c:v>
                </c:pt>
                <c:pt idx="1435">
                  <c:v>38215</c:v>
                </c:pt>
                <c:pt idx="1436">
                  <c:v>38216</c:v>
                </c:pt>
                <c:pt idx="1437">
                  <c:v>38217</c:v>
                </c:pt>
                <c:pt idx="1438">
                  <c:v>38218</c:v>
                </c:pt>
                <c:pt idx="1439">
                  <c:v>38219</c:v>
                </c:pt>
                <c:pt idx="1440">
                  <c:v>38222</c:v>
                </c:pt>
                <c:pt idx="1441">
                  <c:v>38223</c:v>
                </c:pt>
                <c:pt idx="1442">
                  <c:v>38224</c:v>
                </c:pt>
                <c:pt idx="1443">
                  <c:v>38225</c:v>
                </c:pt>
                <c:pt idx="1444">
                  <c:v>38226</c:v>
                </c:pt>
                <c:pt idx="1445">
                  <c:v>38229</c:v>
                </c:pt>
                <c:pt idx="1446">
                  <c:v>38230</c:v>
                </c:pt>
                <c:pt idx="1447">
                  <c:v>38231</c:v>
                </c:pt>
                <c:pt idx="1448">
                  <c:v>38232</c:v>
                </c:pt>
                <c:pt idx="1449">
                  <c:v>38233</c:v>
                </c:pt>
                <c:pt idx="1450">
                  <c:v>38236</c:v>
                </c:pt>
                <c:pt idx="1451">
                  <c:v>38237</c:v>
                </c:pt>
                <c:pt idx="1452">
                  <c:v>38238</c:v>
                </c:pt>
                <c:pt idx="1453">
                  <c:v>38239</c:v>
                </c:pt>
                <c:pt idx="1454">
                  <c:v>38240</c:v>
                </c:pt>
                <c:pt idx="1455">
                  <c:v>38243</c:v>
                </c:pt>
                <c:pt idx="1456">
                  <c:v>38244</c:v>
                </c:pt>
                <c:pt idx="1457">
                  <c:v>38245</c:v>
                </c:pt>
                <c:pt idx="1458">
                  <c:v>38246</c:v>
                </c:pt>
                <c:pt idx="1459">
                  <c:v>38247</c:v>
                </c:pt>
                <c:pt idx="1460">
                  <c:v>38250</c:v>
                </c:pt>
                <c:pt idx="1461">
                  <c:v>38251</c:v>
                </c:pt>
                <c:pt idx="1462">
                  <c:v>38252</c:v>
                </c:pt>
                <c:pt idx="1463">
                  <c:v>38253</c:v>
                </c:pt>
                <c:pt idx="1464">
                  <c:v>38254</c:v>
                </c:pt>
                <c:pt idx="1465">
                  <c:v>38257</c:v>
                </c:pt>
                <c:pt idx="1466">
                  <c:v>38258</c:v>
                </c:pt>
                <c:pt idx="1467">
                  <c:v>38259</c:v>
                </c:pt>
                <c:pt idx="1468">
                  <c:v>38260</c:v>
                </c:pt>
                <c:pt idx="1469">
                  <c:v>38261</c:v>
                </c:pt>
                <c:pt idx="1470">
                  <c:v>38264</c:v>
                </c:pt>
                <c:pt idx="1471">
                  <c:v>38265</c:v>
                </c:pt>
                <c:pt idx="1472">
                  <c:v>38266</c:v>
                </c:pt>
                <c:pt idx="1473">
                  <c:v>38267</c:v>
                </c:pt>
                <c:pt idx="1474">
                  <c:v>38268</c:v>
                </c:pt>
                <c:pt idx="1475">
                  <c:v>38271</c:v>
                </c:pt>
                <c:pt idx="1476">
                  <c:v>38272</c:v>
                </c:pt>
                <c:pt idx="1477">
                  <c:v>38273</c:v>
                </c:pt>
                <c:pt idx="1478">
                  <c:v>38274</c:v>
                </c:pt>
                <c:pt idx="1479">
                  <c:v>38275</c:v>
                </c:pt>
                <c:pt idx="1480">
                  <c:v>38278</c:v>
                </c:pt>
                <c:pt idx="1481">
                  <c:v>38279</c:v>
                </c:pt>
                <c:pt idx="1482">
                  <c:v>38280</c:v>
                </c:pt>
                <c:pt idx="1483">
                  <c:v>38281</c:v>
                </c:pt>
                <c:pt idx="1484">
                  <c:v>38282</c:v>
                </c:pt>
                <c:pt idx="1485">
                  <c:v>38285</c:v>
                </c:pt>
                <c:pt idx="1486">
                  <c:v>38286</c:v>
                </c:pt>
                <c:pt idx="1487">
                  <c:v>38287</c:v>
                </c:pt>
                <c:pt idx="1488">
                  <c:v>38288</c:v>
                </c:pt>
                <c:pt idx="1489">
                  <c:v>38289</c:v>
                </c:pt>
                <c:pt idx="1490">
                  <c:v>38292</c:v>
                </c:pt>
                <c:pt idx="1491">
                  <c:v>38293</c:v>
                </c:pt>
                <c:pt idx="1492">
                  <c:v>38294</c:v>
                </c:pt>
                <c:pt idx="1493">
                  <c:v>38295</c:v>
                </c:pt>
                <c:pt idx="1494">
                  <c:v>38296</c:v>
                </c:pt>
                <c:pt idx="1495">
                  <c:v>38299</c:v>
                </c:pt>
                <c:pt idx="1496">
                  <c:v>38300</c:v>
                </c:pt>
                <c:pt idx="1497">
                  <c:v>38301</c:v>
                </c:pt>
                <c:pt idx="1498">
                  <c:v>38302</c:v>
                </c:pt>
                <c:pt idx="1499">
                  <c:v>38303</c:v>
                </c:pt>
                <c:pt idx="1500">
                  <c:v>38306</c:v>
                </c:pt>
                <c:pt idx="1501">
                  <c:v>38307</c:v>
                </c:pt>
                <c:pt idx="1502">
                  <c:v>38308</c:v>
                </c:pt>
                <c:pt idx="1503">
                  <c:v>38309</c:v>
                </c:pt>
                <c:pt idx="1504">
                  <c:v>38310</c:v>
                </c:pt>
                <c:pt idx="1505">
                  <c:v>38313</c:v>
                </c:pt>
                <c:pt idx="1506">
                  <c:v>38314</c:v>
                </c:pt>
                <c:pt idx="1507">
                  <c:v>38315</c:v>
                </c:pt>
                <c:pt idx="1508">
                  <c:v>38316</c:v>
                </c:pt>
                <c:pt idx="1509">
                  <c:v>38317</c:v>
                </c:pt>
                <c:pt idx="1510">
                  <c:v>38320</c:v>
                </c:pt>
                <c:pt idx="1511">
                  <c:v>38321</c:v>
                </c:pt>
                <c:pt idx="1512">
                  <c:v>38322</c:v>
                </c:pt>
                <c:pt idx="1513">
                  <c:v>38323</c:v>
                </c:pt>
                <c:pt idx="1514">
                  <c:v>38324</c:v>
                </c:pt>
                <c:pt idx="1515">
                  <c:v>38327</c:v>
                </c:pt>
                <c:pt idx="1516">
                  <c:v>38328</c:v>
                </c:pt>
                <c:pt idx="1517">
                  <c:v>38329</c:v>
                </c:pt>
                <c:pt idx="1518">
                  <c:v>38330</c:v>
                </c:pt>
                <c:pt idx="1519">
                  <c:v>38331</c:v>
                </c:pt>
                <c:pt idx="1520">
                  <c:v>38334</c:v>
                </c:pt>
                <c:pt idx="1521">
                  <c:v>38335</c:v>
                </c:pt>
                <c:pt idx="1522">
                  <c:v>38336</c:v>
                </c:pt>
                <c:pt idx="1523">
                  <c:v>38337</c:v>
                </c:pt>
                <c:pt idx="1524">
                  <c:v>38338</c:v>
                </c:pt>
                <c:pt idx="1525">
                  <c:v>38341</c:v>
                </c:pt>
                <c:pt idx="1526">
                  <c:v>38342</c:v>
                </c:pt>
                <c:pt idx="1527">
                  <c:v>38343</c:v>
                </c:pt>
                <c:pt idx="1528">
                  <c:v>38344</c:v>
                </c:pt>
                <c:pt idx="1529">
                  <c:v>38345</c:v>
                </c:pt>
                <c:pt idx="1530">
                  <c:v>38348</c:v>
                </c:pt>
                <c:pt idx="1531">
                  <c:v>38349</c:v>
                </c:pt>
                <c:pt idx="1532">
                  <c:v>38350</c:v>
                </c:pt>
                <c:pt idx="1533">
                  <c:v>38351</c:v>
                </c:pt>
                <c:pt idx="1534">
                  <c:v>38352</c:v>
                </c:pt>
                <c:pt idx="1535">
                  <c:v>38355</c:v>
                </c:pt>
                <c:pt idx="1536">
                  <c:v>38356</c:v>
                </c:pt>
                <c:pt idx="1537">
                  <c:v>38357</c:v>
                </c:pt>
                <c:pt idx="1538">
                  <c:v>38358</c:v>
                </c:pt>
                <c:pt idx="1539">
                  <c:v>38359</c:v>
                </c:pt>
                <c:pt idx="1540">
                  <c:v>38362</c:v>
                </c:pt>
                <c:pt idx="1541">
                  <c:v>38363</c:v>
                </c:pt>
                <c:pt idx="1542">
                  <c:v>38364</c:v>
                </c:pt>
                <c:pt idx="1543">
                  <c:v>38365</c:v>
                </c:pt>
                <c:pt idx="1544">
                  <c:v>38366</c:v>
                </c:pt>
                <c:pt idx="1545">
                  <c:v>38369</c:v>
                </c:pt>
                <c:pt idx="1546">
                  <c:v>38370</c:v>
                </c:pt>
                <c:pt idx="1547">
                  <c:v>38371</c:v>
                </c:pt>
                <c:pt idx="1548">
                  <c:v>38372</c:v>
                </c:pt>
                <c:pt idx="1549">
                  <c:v>38373</c:v>
                </c:pt>
                <c:pt idx="1550">
                  <c:v>38376</c:v>
                </c:pt>
                <c:pt idx="1551">
                  <c:v>38377</c:v>
                </c:pt>
                <c:pt idx="1552">
                  <c:v>38378</c:v>
                </c:pt>
                <c:pt idx="1553">
                  <c:v>38379</c:v>
                </c:pt>
                <c:pt idx="1554">
                  <c:v>38380</c:v>
                </c:pt>
                <c:pt idx="1555">
                  <c:v>38383</c:v>
                </c:pt>
                <c:pt idx="1556">
                  <c:v>38384</c:v>
                </c:pt>
                <c:pt idx="1557">
                  <c:v>38385</c:v>
                </c:pt>
                <c:pt idx="1558">
                  <c:v>38386</c:v>
                </c:pt>
                <c:pt idx="1559">
                  <c:v>38387</c:v>
                </c:pt>
                <c:pt idx="1560">
                  <c:v>38390</c:v>
                </c:pt>
                <c:pt idx="1561">
                  <c:v>38391</c:v>
                </c:pt>
                <c:pt idx="1562">
                  <c:v>38392</c:v>
                </c:pt>
                <c:pt idx="1563">
                  <c:v>38393</c:v>
                </c:pt>
                <c:pt idx="1564">
                  <c:v>38394</c:v>
                </c:pt>
                <c:pt idx="1565">
                  <c:v>38397</c:v>
                </c:pt>
                <c:pt idx="1566">
                  <c:v>38398</c:v>
                </c:pt>
                <c:pt idx="1567">
                  <c:v>38399</c:v>
                </c:pt>
                <c:pt idx="1568">
                  <c:v>38400</c:v>
                </c:pt>
                <c:pt idx="1569">
                  <c:v>38401</c:v>
                </c:pt>
                <c:pt idx="1570">
                  <c:v>38404</c:v>
                </c:pt>
                <c:pt idx="1571">
                  <c:v>38405</c:v>
                </c:pt>
                <c:pt idx="1572">
                  <c:v>38406</c:v>
                </c:pt>
                <c:pt idx="1573">
                  <c:v>38407</c:v>
                </c:pt>
                <c:pt idx="1574">
                  <c:v>38408</c:v>
                </c:pt>
                <c:pt idx="1575">
                  <c:v>38411</c:v>
                </c:pt>
                <c:pt idx="1576">
                  <c:v>38412</c:v>
                </c:pt>
                <c:pt idx="1577">
                  <c:v>38413</c:v>
                </c:pt>
                <c:pt idx="1578">
                  <c:v>38414</c:v>
                </c:pt>
                <c:pt idx="1579">
                  <c:v>38415</c:v>
                </c:pt>
                <c:pt idx="1580">
                  <c:v>38418</c:v>
                </c:pt>
                <c:pt idx="1581">
                  <c:v>38419</c:v>
                </c:pt>
                <c:pt idx="1582">
                  <c:v>38420</c:v>
                </c:pt>
                <c:pt idx="1583">
                  <c:v>38421</c:v>
                </c:pt>
                <c:pt idx="1584">
                  <c:v>38422</c:v>
                </c:pt>
                <c:pt idx="1585">
                  <c:v>38425</c:v>
                </c:pt>
                <c:pt idx="1586">
                  <c:v>38426</c:v>
                </c:pt>
                <c:pt idx="1587">
                  <c:v>38427</c:v>
                </c:pt>
                <c:pt idx="1588">
                  <c:v>38428</c:v>
                </c:pt>
                <c:pt idx="1589">
                  <c:v>38429</c:v>
                </c:pt>
                <c:pt idx="1590">
                  <c:v>38432</c:v>
                </c:pt>
                <c:pt idx="1591">
                  <c:v>38433</c:v>
                </c:pt>
                <c:pt idx="1592">
                  <c:v>38434</c:v>
                </c:pt>
                <c:pt idx="1593">
                  <c:v>38435</c:v>
                </c:pt>
                <c:pt idx="1594">
                  <c:v>38440</c:v>
                </c:pt>
                <c:pt idx="1595">
                  <c:v>38441</c:v>
                </c:pt>
                <c:pt idx="1596">
                  <c:v>38442</c:v>
                </c:pt>
                <c:pt idx="1597">
                  <c:v>38443</c:v>
                </c:pt>
                <c:pt idx="1598">
                  <c:v>38446</c:v>
                </c:pt>
                <c:pt idx="1599">
                  <c:v>38447</c:v>
                </c:pt>
                <c:pt idx="1600">
                  <c:v>38448</c:v>
                </c:pt>
                <c:pt idx="1601">
                  <c:v>38449</c:v>
                </c:pt>
                <c:pt idx="1602">
                  <c:v>38450</c:v>
                </c:pt>
                <c:pt idx="1603">
                  <c:v>38453</c:v>
                </c:pt>
                <c:pt idx="1604">
                  <c:v>38454</c:v>
                </c:pt>
                <c:pt idx="1605">
                  <c:v>38455</c:v>
                </c:pt>
                <c:pt idx="1606">
                  <c:v>38456</c:v>
                </c:pt>
                <c:pt idx="1607">
                  <c:v>38457</c:v>
                </c:pt>
                <c:pt idx="1608">
                  <c:v>38460</c:v>
                </c:pt>
                <c:pt idx="1609">
                  <c:v>38461</c:v>
                </c:pt>
                <c:pt idx="1610">
                  <c:v>38462</c:v>
                </c:pt>
                <c:pt idx="1611">
                  <c:v>38463</c:v>
                </c:pt>
                <c:pt idx="1612">
                  <c:v>38464</c:v>
                </c:pt>
                <c:pt idx="1613">
                  <c:v>38467</c:v>
                </c:pt>
                <c:pt idx="1614">
                  <c:v>38468</c:v>
                </c:pt>
                <c:pt idx="1615">
                  <c:v>38469</c:v>
                </c:pt>
                <c:pt idx="1616">
                  <c:v>38470</c:v>
                </c:pt>
                <c:pt idx="1617">
                  <c:v>38471</c:v>
                </c:pt>
                <c:pt idx="1618">
                  <c:v>38474</c:v>
                </c:pt>
                <c:pt idx="1619">
                  <c:v>38475</c:v>
                </c:pt>
                <c:pt idx="1620">
                  <c:v>38476</c:v>
                </c:pt>
                <c:pt idx="1621">
                  <c:v>38477</c:v>
                </c:pt>
                <c:pt idx="1622">
                  <c:v>38478</c:v>
                </c:pt>
                <c:pt idx="1623">
                  <c:v>38481</c:v>
                </c:pt>
                <c:pt idx="1624">
                  <c:v>38482</c:v>
                </c:pt>
                <c:pt idx="1625">
                  <c:v>38483</c:v>
                </c:pt>
                <c:pt idx="1626">
                  <c:v>38484</c:v>
                </c:pt>
                <c:pt idx="1627">
                  <c:v>38485</c:v>
                </c:pt>
                <c:pt idx="1628">
                  <c:v>38488</c:v>
                </c:pt>
                <c:pt idx="1629">
                  <c:v>38489</c:v>
                </c:pt>
                <c:pt idx="1630">
                  <c:v>38490</c:v>
                </c:pt>
                <c:pt idx="1631">
                  <c:v>38491</c:v>
                </c:pt>
                <c:pt idx="1632">
                  <c:v>38492</c:v>
                </c:pt>
                <c:pt idx="1633">
                  <c:v>38495</c:v>
                </c:pt>
                <c:pt idx="1634">
                  <c:v>38496</c:v>
                </c:pt>
                <c:pt idx="1635">
                  <c:v>38497</c:v>
                </c:pt>
                <c:pt idx="1636">
                  <c:v>38498</c:v>
                </c:pt>
                <c:pt idx="1637">
                  <c:v>38499</c:v>
                </c:pt>
                <c:pt idx="1638">
                  <c:v>38502</c:v>
                </c:pt>
                <c:pt idx="1639">
                  <c:v>38503</c:v>
                </c:pt>
                <c:pt idx="1640">
                  <c:v>38504</c:v>
                </c:pt>
                <c:pt idx="1641">
                  <c:v>38505</c:v>
                </c:pt>
                <c:pt idx="1642">
                  <c:v>38506</c:v>
                </c:pt>
                <c:pt idx="1643">
                  <c:v>38509</c:v>
                </c:pt>
                <c:pt idx="1644">
                  <c:v>38510</c:v>
                </c:pt>
                <c:pt idx="1645">
                  <c:v>38511</c:v>
                </c:pt>
                <c:pt idx="1646">
                  <c:v>38512</c:v>
                </c:pt>
                <c:pt idx="1647">
                  <c:v>38513</c:v>
                </c:pt>
                <c:pt idx="1648">
                  <c:v>38516</c:v>
                </c:pt>
                <c:pt idx="1649">
                  <c:v>38517</c:v>
                </c:pt>
                <c:pt idx="1650">
                  <c:v>38518</c:v>
                </c:pt>
                <c:pt idx="1651">
                  <c:v>38519</c:v>
                </c:pt>
                <c:pt idx="1652">
                  <c:v>38520</c:v>
                </c:pt>
                <c:pt idx="1653">
                  <c:v>38523</c:v>
                </c:pt>
                <c:pt idx="1654">
                  <c:v>38524</c:v>
                </c:pt>
                <c:pt idx="1655">
                  <c:v>38525</c:v>
                </c:pt>
                <c:pt idx="1656">
                  <c:v>38526</c:v>
                </c:pt>
                <c:pt idx="1657">
                  <c:v>38527</c:v>
                </c:pt>
                <c:pt idx="1658">
                  <c:v>38530</c:v>
                </c:pt>
                <c:pt idx="1659">
                  <c:v>38531</c:v>
                </c:pt>
                <c:pt idx="1660">
                  <c:v>38532</c:v>
                </c:pt>
                <c:pt idx="1661">
                  <c:v>38533</c:v>
                </c:pt>
                <c:pt idx="1662">
                  <c:v>38534</c:v>
                </c:pt>
                <c:pt idx="1663">
                  <c:v>38537</c:v>
                </c:pt>
                <c:pt idx="1664">
                  <c:v>38538</c:v>
                </c:pt>
                <c:pt idx="1665">
                  <c:v>38539</c:v>
                </c:pt>
                <c:pt idx="1666">
                  <c:v>38540</c:v>
                </c:pt>
                <c:pt idx="1667">
                  <c:v>38541</c:v>
                </c:pt>
                <c:pt idx="1668">
                  <c:v>38544</c:v>
                </c:pt>
                <c:pt idx="1669">
                  <c:v>38545</c:v>
                </c:pt>
                <c:pt idx="1670">
                  <c:v>38546</c:v>
                </c:pt>
                <c:pt idx="1671">
                  <c:v>38547</c:v>
                </c:pt>
                <c:pt idx="1672">
                  <c:v>38548</c:v>
                </c:pt>
                <c:pt idx="1673">
                  <c:v>38551</c:v>
                </c:pt>
                <c:pt idx="1674">
                  <c:v>38552</c:v>
                </c:pt>
                <c:pt idx="1675">
                  <c:v>38553</c:v>
                </c:pt>
                <c:pt idx="1676">
                  <c:v>38554</c:v>
                </c:pt>
                <c:pt idx="1677">
                  <c:v>38555</c:v>
                </c:pt>
                <c:pt idx="1678">
                  <c:v>38558</c:v>
                </c:pt>
                <c:pt idx="1679">
                  <c:v>38559</c:v>
                </c:pt>
                <c:pt idx="1680">
                  <c:v>38560</c:v>
                </c:pt>
                <c:pt idx="1681">
                  <c:v>38561</c:v>
                </c:pt>
                <c:pt idx="1682">
                  <c:v>38562</c:v>
                </c:pt>
                <c:pt idx="1683">
                  <c:v>38565</c:v>
                </c:pt>
                <c:pt idx="1684">
                  <c:v>38566</c:v>
                </c:pt>
                <c:pt idx="1685">
                  <c:v>38567</c:v>
                </c:pt>
                <c:pt idx="1686">
                  <c:v>38568</c:v>
                </c:pt>
                <c:pt idx="1687">
                  <c:v>38569</c:v>
                </c:pt>
                <c:pt idx="1688">
                  <c:v>38572</c:v>
                </c:pt>
                <c:pt idx="1689">
                  <c:v>38573</c:v>
                </c:pt>
                <c:pt idx="1690">
                  <c:v>38574</c:v>
                </c:pt>
                <c:pt idx="1691">
                  <c:v>38575</c:v>
                </c:pt>
                <c:pt idx="1692">
                  <c:v>38576</c:v>
                </c:pt>
                <c:pt idx="1693">
                  <c:v>38579</c:v>
                </c:pt>
                <c:pt idx="1694">
                  <c:v>38580</c:v>
                </c:pt>
                <c:pt idx="1695">
                  <c:v>38581</c:v>
                </c:pt>
                <c:pt idx="1696">
                  <c:v>38582</c:v>
                </c:pt>
                <c:pt idx="1697">
                  <c:v>38583</c:v>
                </c:pt>
                <c:pt idx="1698">
                  <c:v>38586</c:v>
                </c:pt>
                <c:pt idx="1699">
                  <c:v>38587</c:v>
                </c:pt>
                <c:pt idx="1700">
                  <c:v>38588</c:v>
                </c:pt>
                <c:pt idx="1701">
                  <c:v>38589</c:v>
                </c:pt>
                <c:pt idx="1702">
                  <c:v>38590</c:v>
                </c:pt>
                <c:pt idx="1703">
                  <c:v>38593</c:v>
                </c:pt>
                <c:pt idx="1704">
                  <c:v>38594</c:v>
                </c:pt>
                <c:pt idx="1705">
                  <c:v>38595</c:v>
                </c:pt>
                <c:pt idx="1706">
                  <c:v>38596</c:v>
                </c:pt>
                <c:pt idx="1707">
                  <c:v>38597</c:v>
                </c:pt>
                <c:pt idx="1708">
                  <c:v>38600</c:v>
                </c:pt>
                <c:pt idx="1709">
                  <c:v>38601</c:v>
                </c:pt>
                <c:pt idx="1710">
                  <c:v>38602</c:v>
                </c:pt>
                <c:pt idx="1711">
                  <c:v>38603</c:v>
                </c:pt>
                <c:pt idx="1712">
                  <c:v>38604</c:v>
                </c:pt>
                <c:pt idx="1713">
                  <c:v>38607</c:v>
                </c:pt>
                <c:pt idx="1714">
                  <c:v>38608</c:v>
                </c:pt>
                <c:pt idx="1715">
                  <c:v>38609</c:v>
                </c:pt>
                <c:pt idx="1716">
                  <c:v>38610</c:v>
                </c:pt>
                <c:pt idx="1717">
                  <c:v>38611</c:v>
                </c:pt>
                <c:pt idx="1718">
                  <c:v>38614</c:v>
                </c:pt>
                <c:pt idx="1719">
                  <c:v>38615</c:v>
                </c:pt>
                <c:pt idx="1720">
                  <c:v>38616</c:v>
                </c:pt>
                <c:pt idx="1721">
                  <c:v>38617</c:v>
                </c:pt>
                <c:pt idx="1722">
                  <c:v>38618</c:v>
                </c:pt>
                <c:pt idx="1723">
                  <c:v>38621</c:v>
                </c:pt>
                <c:pt idx="1724">
                  <c:v>38622</c:v>
                </c:pt>
                <c:pt idx="1725">
                  <c:v>38623</c:v>
                </c:pt>
                <c:pt idx="1726">
                  <c:v>38624</c:v>
                </c:pt>
                <c:pt idx="1727">
                  <c:v>38625</c:v>
                </c:pt>
                <c:pt idx="1728">
                  <c:v>38628</c:v>
                </c:pt>
                <c:pt idx="1729">
                  <c:v>38629</c:v>
                </c:pt>
                <c:pt idx="1730">
                  <c:v>38630</c:v>
                </c:pt>
                <c:pt idx="1731">
                  <c:v>38631</c:v>
                </c:pt>
                <c:pt idx="1732">
                  <c:v>38632</c:v>
                </c:pt>
                <c:pt idx="1733">
                  <c:v>38635</c:v>
                </c:pt>
                <c:pt idx="1734">
                  <c:v>38636</c:v>
                </c:pt>
                <c:pt idx="1735">
                  <c:v>38637</c:v>
                </c:pt>
                <c:pt idx="1736">
                  <c:v>38638</c:v>
                </c:pt>
                <c:pt idx="1737">
                  <c:v>38639</c:v>
                </c:pt>
                <c:pt idx="1738">
                  <c:v>38642</c:v>
                </c:pt>
                <c:pt idx="1739">
                  <c:v>38643</c:v>
                </c:pt>
                <c:pt idx="1740">
                  <c:v>38644</c:v>
                </c:pt>
                <c:pt idx="1741">
                  <c:v>38645</c:v>
                </c:pt>
                <c:pt idx="1742">
                  <c:v>38646</c:v>
                </c:pt>
                <c:pt idx="1743">
                  <c:v>38649</c:v>
                </c:pt>
                <c:pt idx="1744">
                  <c:v>38650</c:v>
                </c:pt>
                <c:pt idx="1745">
                  <c:v>38651</c:v>
                </c:pt>
                <c:pt idx="1746">
                  <c:v>38652</c:v>
                </c:pt>
                <c:pt idx="1747">
                  <c:v>38653</c:v>
                </c:pt>
                <c:pt idx="1748">
                  <c:v>38656</c:v>
                </c:pt>
                <c:pt idx="1749">
                  <c:v>38657</c:v>
                </c:pt>
                <c:pt idx="1750">
                  <c:v>38658</c:v>
                </c:pt>
                <c:pt idx="1751">
                  <c:v>38659</c:v>
                </c:pt>
                <c:pt idx="1752">
                  <c:v>38660</c:v>
                </c:pt>
                <c:pt idx="1753">
                  <c:v>38663</c:v>
                </c:pt>
                <c:pt idx="1754">
                  <c:v>38664</c:v>
                </c:pt>
                <c:pt idx="1755">
                  <c:v>38665</c:v>
                </c:pt>
                <c:pt idx="1756">
                  <c:v>38666</c:v>
                </c:pt>
                <c:pt idx="1757">
                  <c:v>38667</c:v>
                </c:pt>
                <c:pt idx="1758">
                  <c:v>38670</c:v>
                </c:pt>
                <c:pt idx="1759">
                  <c:v>38671</c:v>
                </c:pt>
                <c:pt idx="1760">
                  <c:v>38672</c:v>
                </c:pt>
                <c:pt idx="1761">
                  <c:v>38673</c:v>
                </c:pt>
                <c:pt idx="1762">
                  <c:v>38674</c:v>
                </c:pt>
                <c:pt idx="1763">
                  <c:v>38677</c:v>
                </c:pt>
                <c:pt idx="1764">
                  <c:v>38678</c:v>
                </c:pt>
                <c:pt idx="1765">
                  <c:v>38679</c:v>
                </c:pt>
                <c:pt idx="1766">
                  <c:v>38680</c:v>
                </c:pt>
                <c:pt idx="1767">
                  <c:v>38681</c:v>
                </c:pt>
                <c:pt idx="1768">
                  <c:v>38684</c:v>
                </c:pt>
                <c:pt idx="1769">
                  <c:v>38685</c:v>
                </c:pt>
                <c:pt idx="1770">
                  <c:v>38686</c:v>
                </c:pt>
                <c:pt idx="1771">
                  <c:v>38687</c:v>
                </c:pt>
                <c:pt idx="1772">
                  <c:v>38688</c:v>
                </c:pt>
                <c:pt idx="1773">
                  <c:v>38691</c:v>
                </c:pt>
                <c:pt idx="1774">
                  <c:v>38692</c:v>
                </c:pt>
                <c:pt idx="1775">
                  <c:v>38693</c:v>
                </c:pt>
                <c:pt idx="1776">
                  <c:v>38694</c:v>
                </c:pt>
                <c:pt idx="1777">
                  <c:v>38695</c:v>
                </c:pt>
                <c:pt idx="1778">
                  <c:v>38698</c:v>
                </c:pt>
                <c:pt idx="1779">
                  <c:v>38699</c:v>
                </c:pt>
                <c:pt idx="1780">
                  <c:v>38700</c:v>
                </c:pt>
                <c:pt idx="1781">
                  <c:v>38701</c:v>
                </c:pt>
                <c:pt idx="1782">
                  <c:v>38702</c:v>
                </c:pt>
                <c:pt idx="1783">
                  <c:v>38705</c:v>
                </c:pt>
                <c:pt idx="1784">
                  <c:v>38706</c:v>
                </c:pt>
                <c:pt idx="1785">
                  <c:v>38707</c:v>
                </c:pt>
                <c:pt idx="1786">
                  <c:v>38708</c:v>
                </c:pt>
                <c:pt idx="1787">
                  <c:v>38709</c:v>
                </c:pt>
                <c:pt idx="1788">
                  <c:v>38713</c:v>
                </c:pt>
                <c:pt idx="1789">
                  <c:v>38714</c:v>
                </c:pt>
                <c:pt idx="1790">
                  <c:v>38715</c:v>
                </c:pt>
                <c:pt idx="1791">
                  <c:v>38716</c:v>
                </c:pt>
                <c:pt idx="1792">
                  <c:v>38719</c:v>
                </c:pt>
                <c:pt idx="1793">
                  <c:v>38720</c:v>
                </c:pt>
                <c:pt idx="1794">
                  <c:v>38721</c:v>
                </c:pt>
                <c:pt idx="1795">
                  <c:v>38722</c:v>
                </c:pt>
                <c:pt idx="1796">
                  <c:v>38723</c:v>
                </c:pt>
                <c:pt idx="1797">
                  <c:v>38726</c:v>
                </c:pt>
                <c:pt idx="1798">
                  <c:v>38727</c:v>
                </c:pt>
                <c:pt idx="1799">
                  <c:v>38728</c:v>
                </c:pt>
                <c:pt idx="1800">
                  <c:v>38729</c:v>
                </c:pt>
                <c:pt idx="1801">
                  <c:v>38730</c:v>
                </c:pt>
                <c:pt idx="1802">
                  <c:v>38733</c:v>
                </c:pt>
                <c:pt idx="1803">
                  <c:v>38734</c:v>
                </c:pt>
                <c:pt idx="1804">
                  <c:v>38735</c:v>
                </c:pt>
                <c:pt idx="1805">
                  <c:v>38736</c:v>
                </c:pt>
                <c:pt idx="1806">
                  <c:v>38737</c:v>
                </c:pt>
                <c:pt idx="1807">
                  <c:v>38740</c:v>
                </c:pt>
                <c:pt idx="1808">
                  <c:v>38741</c:v>
                </c:pt>
                <c:pt idx="1809">
                  <c:v>38742</c:v>
                </c:pt>
                <c:pt idx="1810">
                  <c:v>38743</c:v>
                </c:pt>
                <c:pt idx="1811">
                  <c:v>38744</c:v>
                </c:pt>
                <c:pt idx="1812">
                  <c:v>38747</c:v>
                </c:pt>
                <c:pt idx="1813">
                  <c:v>38748</c:v>
                </c:pt>
                <c:pt idx="1814">
                  <c:v>38749</c:v>
                </c:pt>
                <c:pt idx="1815">
                  <c:v>38750</c:v>
                </c:pt>
                <c:pt idx="1816">
                  <c:v>38751</c:v>
                </c:pt>
                <c:pt idx="1817">
                  <c:v>38754</c:v>
                </c:pt>
                <c:pt idx="1818">
                  <c:v>38755</c:v>
                </c:pt>
                <c:pt idx="1819">
                  <c:v>38756</c:v>
                </c:pt>
                <c:pt idx="1820">
                  <c:v>38757</c:v>
                </c:pt>
                <c:pt idx="1821">
                  <c:v>38758</c:v>
                </c:pt>
                <c:pt idx="1822">
                  <c:v>38761</c:v>
                </c:pt>
                <c:pt idx="1823">
                  <c:v>38762</c:v>
                </c:pt>
                <c:pt idx="1824">
                  <c:v>38763</c:v>
                </c:pt>
                <c:pt idx="1825">
                  <c:v>38764</c:v>
                </c:pt>
                <c:pt idx="1826">
                  <c:v>38765</c:v>
                </c:pt>
                <c:pt idx="1827">
                  <c:v>38768</c:v>
                </c:pt>
                <c:pt idx="1828">
                  <c:v>38769</c:v>
                </c:pt>
                <c:pt idx="1829">
                  <c:v>38770</c:v>
                </c:pt>
                <c:pt idx="1830">
                  <c:v>38771</c:v>
                </c:pt>
                <c:pt idx="1831">
                  <c:v>38772</c:v>
                </c:pt>
                <c:pt idx="1832">
                  <c:v>38775</c:v>
                </c:pt>
                <c:pt idx="1833">
                  <c:v>38776</c:v>
                </c:pt>
                <c:pt idx="1834">
                  <c:v>38777</c:v>
                </c:pt>
                <c:pt idx="1835">
                  <c:v>38778</c:v>
                </c:pt>
                <c:pt idx="1836">
                  <c:v>38779</c:v>
                </c:pt>
                <c:pt idx="1837">
                  <c:v>38782</c:v>
                </c:pt>
                <c:pt idx="1838">
                  <c:v>38783</c:v>
                </c:pt>
                <c:pt idx="1839">
                  <c:v>38784</c:v>
                </c:pt>
                <c:pt idx="1840">
                  <c:v>38785</c:v>
                </c:pt>
                <c:pt idx="1841">
                  <c:v>38786</c:v>
                </c:pt>
                <c:pt idx="1842">
                  <c:v>38789</c:v>
                </c:pt>
                <c:pt idx="1843">
                  <c:v>38790</c:v>
                </c:pt>
                <c:pt idx="1844">
                  <c:v>38791</c:v>
                </c:pt>
                <c:pt idx="1845">
                  <c:v>38792</c:v>
                </c:pt>
                <c:pt idx="1846">
                  <c:v>38793</c:v>
                </c:pt>
                <c:pt idx="1847">
                  <c:v>38796</c:v>
                </c:pt>
                <c:pt idx="1848">
                  <c:v>38797</c:v>
                </c:pt>
                <c:pt idx="1849">
                  <c:v>38798</c:v>
                </c:pt>
                <c:pt idx="1850">
                  <c:v>38799</c:v>
                </c:pt>
                <c:pt idx="1851">
                  <c:v>38800</c:v>
                </c:pt>
                <c:pt idx="1852">
                  <c:v>38803</c:v>
                </c:pt>
                <c:pt idx="1853">
                  <c:v>38804</c:v>
                </c:pt>
                <c:pt idx="1854">
                  <c:v>38805</c:v>
                </c:pt>
                <c:pt idx="1855">
                  <c:v>38806</c:v>
                </c:pt>
                <c:pt idx="1856">
                  <c:v>38807</c:v>
                </c:pt>
                <c:pt idx="1857">
                  <c:v>38810</c:v>
                </c:pt>
                <c:pt idx="1858">
                  <c:v>38811</c:v>
                </c:pt>
                <c:pt idx="1859">
                  <c:v>38812</c:v>
                </c:pt>
                <c:pt idx="1860">
                  <c:v>38813</c:v>
                </c:pt>
                <c:pt idx="1861">
                  <c:v>38814</c:v>
                </c:pt>
                <c:pt idx="1862">
                  <c:v>38817</c:v>
                </c:pt>
                <c:pt idx="1863">
                  <c:v>38818</c:v>
                </c:pt>
                <c:pt idx="1864">
                  <c:v>38819</c:v>
                </c:pt>
                <c:pt idx="1865">
                  <c:v>38820</c:v>
                </c:pt>
                <c:pt idx="1866">
                  <c:v>38825</c:v>
                </c:pt>
                <c:pt idx="1867">
                  <c:v>38826</c:v>
                </c:pt>
                <c:pt idx="1868">
                  <c:v>38827</c:v>
                </c:pt>
                <c:pt idx="1869">
                  <c:v>38828</c:v>
                </c:pt>
                <c:pt idx="1870">
                  <c:v>38831</c:v>
                </c:pt>
                <c:pt idx="1871">
                  <c:v>38832</c:v>
                </c:pt>
                <c:pt idx="1872">
                  <c:v>38833</c:v>
                </c:pt>
                <c:pt idx="1873">
                  <c:v>38834</c:v>
                </c:pt>
                <c:pt idx="1874">
                  <c:v>38835</c:v>
                </c:pt>
                <c:pt idx="1875">
                  <c:v>38839</c:v>
                </c:pt>
                <c:pt idx="1876">
                  <c:v>38840</c:v>
                </c:pt>
                <c:pt idx="1877">
                  <c:v>38841</c:v>
                </c:pt>
                <c:pt idx="1878">
                  <c:v>38842</c:v>
                </c:pt>
                <c:pt idx="1879">
                  <c:v>38845</c:v>
                </c:pt>
                <c:pt idx="1880">
                  <c:v>38846</c:v>
                </c:pt>
                <c:pt idx="1881">
                  <c:v>38847</c:v>
                </c:pt>
                <c:pt idx="1882">
                  <c:v>38848</c:v>
                </c:pt>
                <c:pt idx="1883">
                  <c:v>38849</c:v>
                </c:pt>
                <c:pt idx="1884">
                  <c:v>38852</c:v>
                </c:pt>
                <c:pt idx="1885">
                  <c:v>38853</c:v>
                </c:pt>
                <c:pt idx="1886">
                  <c:v>38854</c:v>
                </c:pt>
                <c:pt idx="1887">
                  <c:v>38855</c:v>
                </c:pt>
                <c:pt idx="1888">
                  <c:v>38856</c:v>
                </c:pt>
                <c:pt idx="1889">
                  <c:v>38859</c:v>
                </c:pt>
                <c:pt idx="1890">
                  <c:v>38860</c:v>
                </c:pt>
                <c:pt idx="1891">
                  <c:v>38861</c:v>
                </c:pt>
                <c:pt idx="1892">
                  <c:v>38862</c:v>
                </c:pt>
                <c:pt idx="1893">
                  <c:v>38863</c:v>
                </c:pt>
                <c:pt idx="1894">
                  <c:v>38866</c:v>
                </c:pt>
                <c:pt idx="1895">
                  <c:v>38867</c:v>
                </c:pt>
                <c:pt idx="1896">
                  <c:v>38868</c:v>
                </c:pt>
                <c:pt idx="1897">
                  <c:v>38869</c:v>
                </c:pt>
                <c:pt idx="1898">
                  <c:v>38870</c:v>
                </c:pt>
                <c:pt idx="1899">
                  <c:v>38873</c:v>
                </c:pt>
                <c:pt idx="1900">
                  <c:v>38874</c:v>
                </c:pt>
                <c:pt idx="1901">
                  <c:v>38875</c:v>
                </c:pt>
                <c:pt idx="1902">
                  <c:v>38876</c:v>
                </c:pt>
                <c:pt idx="1903">
                  <c:v>38877</c:v>
                </c:pt>
                <c:pt idx="1904">
                  <c:v>38880</c:v>
                </c:pt>
                <c:pt idx="1905">
                  <c:v>38881</c:v>
                </c:pt>
                <c:pt idx="1906">
                  <c:v>38882</c:v>
                </c:pt>
                <c:pt idx="1907">
                  <c:v>38883</c:v>
                </c:pt>
                <c:pt idx="1908">
                  <c:v>38884</c:v>
                </c:pt>
                <c:pt idx="1909">
                  <c:v>38887</c:v>
                </c:pt>
                <c:pt idx="1910">
                  <c:v>38888</c:v>
                </c:pt>
                <c:pt idx="1911">
                  <c:v>38889</c:v>
                </c:pt>
                <c:pt idx="1912">
                  <c:v>38890</c:v>
                </c:pt>
                <c:pt idx="1913">
                  <c:v>38891</c:v>
                </c:pt>
                <c:pt idx="1914">
                  <c:v>38894</c:v>
                </c:pt>
                <c:pt idx="1915">
                  <c:v>38895</c:v>
                </c:pt>
                <c:pt idx="1916">
                  <c:v>38896</c:v>
                </c:pt>
                <c:pt idx="1917">
                  <c:v>38897</c:v>
                </c:pt>
                <c:pt idx="1918">
                  <c:v>38898</c:v>
                </c:pt>
                <c:pt idx="1919">
                  <c:v>38901</c:v>
                </c:pt>
                <c:pt idx="1920">
                  <c:v>38902</c:v>
                </c:pt>
                <c:pt idx="1921">
                  <c:v>38903</c:v>
                </c:pt>
                <c:pt idx="1922">
                  <c:v>38904</c:v>
                </c:pt>
                <c:pt idx="1923">
                  <c:v>38905</c:v>
                </c:pt>
                <c:pt idx="1924">
                  <c:v>38908</c:v>
                </c:pt>
                <c:pt idx="1925">
                  <c:v>38909</c:v>
                </c:pt>
                <c:pt idx="1926">
                  <c:v>38910</c:v>
                </c:pt>
                <c:pt idx="1927">
                  <c:v>38911</c:v>
                </c:pt>
                <c:pt idx="1928">
                  <c:v>38912</c:v>
                </c:pt>
                <c:pt idx="1929">
                  <c:v>38915</c:v>
                </c:pt>
                <c:pt idx="1930">
                  <c:v>38916</c:v>
                </c:pt>
                <c:pt idx="1931">
                  <c:v>38917</c:v>
                </c:pt>
                <c:pt idx="1932">
                  <c:v>38918</c:v>
                </c:pt>
                <c:pt idx="1933">
                  <c:v>38919</c:v>
                </c:pt>
                <c:pt idx="1934">
                  <c:v>38922</c:v>
                </c:pt>
                <c:pt idx="1935">
                  <c:v>38923</c:v>
                </c:pt>
                <c:pt idx="1936">
                  <c:v>38924</c:v>
                </c:pt>
                <c:pt idx="1937">
                  <c:v>38925</c:v>
                </c:pt>
                <c:pt idx="1938">
                  <c:v>38926</c:v>
                </c:pt>
                <c:pt idx="1939">
                  <c:v>38929</c:v>
                </c:pt>
                <c:pt idx="1940">
                  <c:v>38930</c:v>
                </c:pt>
                <c:pt idx="1941">
                  <c:v>38931</c:v>
                </c:pt>
                <c:pt idx="1942">
                  <c:v>38932</c:v>
                </c:pt>
                <c:pt idx="1943">
                  <c:v>38933</c:v>
                </c:pt>
                <c:pt idx="1944">
                  <c:v>38936</c:v>
                </c:pt>
                <c:pt idx="1945">
                  <c:v>38937</c:v>
                </c:pt>
                <c:pt idx="1946">
                  <c:v>38938</c:v>
                </c:pt>
                <c:pt idx="1947">
                  <c:v>38939</c:v>
                </c:pt>
                <c:pt idx="1948">
                  <c:v>38940</c:v>
                </c:pt>
                <c:pt idx="1949">
                  <c:v>38943</c:v>
                </c:pt>
                <c:pt idx="1950">
                  <c:v>38944</c:v>
                </c:pt>
                <c:pt idx="1951">
                  <c:v>38945</c:v>
                </c:pt>
                <c:pt idx="1952">
                  <c:v>38946</c:v>
                </c:pt>
                <c:pt idx="1953">
                  <c:v>38947</c:v>
                </c:pt>
                <c:pt idx="1954">
                  <c:v>38950</c:v>
                </c:pt>
                <c:pt idx="1955">
                  <c:v>38951</c:v>
                </c:pt>
                <c:pt idx="1956">
                  <c:v>38952</c:v>
                </c:pt>
                <c:pt idx="1957">
                  <c:v>38953</c:v>
                </c:pt>
                <c:pt idx="1958">
                  <c:v>38954</c:v>
                </c:pt>
                <c:pt idx="1959">
                  <c:v>38957</c:v>
                </c:pt>
                <c:pt idx="1960">
                  <c:v>38958</c:v>
                </c:pt>
                <c:pt idx="1961">
                  <c:v>38959</c:v>
                </c:pt>
                <c:pt idx="1962">
                  <c:v>38960</c:v>
                </c:pt>
                <c:pt idx="1963">
                  <c:v>38961</c:v>
                </c:pt>
                <c:pt idx="1964">
                  <c:v>38964</c:v>
                </c:pt>
                <c:pt idx="1965">
                  <c:v>38965</c:v>
                </c:pt>
                <c:pt idx="1966">
                  <c:v>38966</c:v>
                </c:pt>
                <c:pt idx="1967">
                  <c:v>38967</c:v>
                </c:pt>
                <c:pt idx="1968">
                  <c:v>38968</c:v>
                </c:pt>
                <c:pt idx="1969">
                  <c:v>38971</c:v>
                </c:pt>
                <c:pt idx="1970">
                  <c:v>38972</c:v>
                </c:pt>
                <c:pt idx="1971">
                  <c:v>38973</c:v>
                </c:pt>
                <c:pt idx="1972">
                  <c:v>38974</c:v>
                </c:pt>
                <c:pt idx="1973">
                  <c:v>38975</c:v>
                </c:pt>
                <c:pt idx="1974">
                  <c:v>38978</c:v>
                </c:pt>
                <c:pt idx="1975">
                  <c:v>38979</c:v>
                </c:pt>
                <c:pt idx="1976">
                  <c:v>38980</c:v>
                </c:pt>
                <c:pt idx="1977">
                  <c:v>38981</c:v>
                </c:pt>
                <c:pt idx="1978">
                  <c:v>38982</c:v>
                </c:pt>
                <c:pt idx="1979">
                  <c:v>38985</c:v>
                </c:pt>
                <c:pt idx="1980">
                  <c:v>38986</c:v>
                </c:pt>
                <c:pt idx="1981">
                  <c:v>38987</c:v>
                </c:pt>
                <c:pt idx="1982">
                  <c:v>38988</c:v>
                </c:pt>
                <c:pt idx="1983">
                  <c:v>38989</c:v>
                </c:pt>
                <c:pt idx="1984">
                  <c:v>38992</c:v>
                </c:pt>
                <c:pt idx="1985">
                  <c:v>38993</c:v>
                </c:pt>
                <c:pt idx="1986">
                  <c:v>38994</c:v>
                </c:pt>
                <c:pt idx="1987">
                  <c:v>38995</c:v>
                </c:pt>
                <c:pt idx="1988">
                  <c:v>38996</c:v>
                </c:pt>
                <c:pt idx="1989">
                  <c:v>38999</c:v>
                </c:pt>
                <c:pt idx="1990">
                  <c:v>39000</c:v>
                </c:pt>
                <c:pt idx="1991">
                  <c:v>39001</c:v>
                </c:pt>
                <c:pt idx="1992">
                  <c:v>39002</c:v>
                </c:pt>
                <c:pt idx="1993">
                  <c:v>39003</c:v>
                </c:pt>
                <c:pt idx="1994">
                  <c:v>39006</c:v>
                </c:pt>
                <c:pt idx="1995">
                  <c:v>39007</c:v>
                </c:pt>
                <c:pt idx="1996">
                  <c:v>39008</c:v>
                </c:pt>
                <c:pt idx="1997">
                  <c:v>39009</c:v>
                </c:pt>
                <c:pt idx="1998">
                  <c:v>39010</c:v>
                </c:pt>
                <c:pt idx="1999">
                  <c:v>39013</c:v>
                </c:pt>
                <c:pt idx="2000">
                  <c:v>39014</c:v>
                </c:pt>
                <c:pt idx="2001">
                  <c:v>39015</c:v>
                </c:pt>
                <c:pt idx="2002">
                  <c:v>39016</c:v>
                </c:pt>
                <c:pt idx="2003">
                  <c:v>39017</c:v>
                </c:pt>
                <c:pt idx="2004">
                  <c:v>39020</c:v>
                </c:pt>
                <c:pt idx="2005">
                  <c:v>39021</c:v>
                </c:pt>
                <c:pt idx="2006">
                  <c:v>39022</c:v>
                </c:pt>
                <c:pt idx="2007">
                  <c:v>39023</c:v>
                </c:pt>
                <c:pt idx="2008">
                  <c:v>39024</c:v>
                </c:pt>
                <c:pt idx="2009">
                  <c:v>39027</c:v>
                </c:pt>
                <c:pt idx="2010">
                  <c:v>39028</c:v>
                </c:pt>
                <c:pt idx="2011">
                  <c:v>39029</c:v>
                </c:pt>
                <c:pt idx="2012">
                  <c:v>39030</c:v>
                </c:pt>
                <c:pt idx="2013">
                  <c:v>39031</c:v>
                </c:pt>
                <c:pt idx="2014">
                  <c:v>39034</c:v>
                </c:pt>
                <c:pt idx="2015">
                  <c:v>39035</c:v>
                </c:pt>
                <c:pt idx="2016">
                  <c:v>39036</c:v>
                </c:pt>
                <c:pt idx="2017">
                  <c:v>39037</c:v>
                </c:pt>
                <c:pt idx="2018">
                  <c:v>39038</c:v>
                </c:pt>
                <c:pt idx="2019">
                  <c:v>39041</c:v>
                </c:pt>
                <c:pt idx="2020">
                  <c:v>39042</c:v>
                </c:pt>
                <c:pt idx="2021">
                  <c:v>39043</c:v>
                </c:pt>
                <c:pt idx="2022">
                  <c:v>39044</c:v>
                </c:pt>
                <c:pt idx="2023">
                  <c:v>39045</c:v>
                </c:pt>
                <c:pt idx="2024">
                  <c:v>39048</c:v>
                </c:pt>
                <c:pt idx="2025">
                  <c:v>39049</c:v>
                </c:pt>
                <c:pt idx="2026">
                  <c:v>39050</c:v>
                </c:pt>
                <c:pt idx="2027">
                  <c:v>39051</c:v>
                </c:pt>
                <c:pt idx="2028">
                  <c:v>39052</c:v>
                </c:pt>
                <c:pt idx="2029">
                  <c:v>39055</c:v>
                </c:pt>
                <c:pt idx="2030">
                  <c:v>39056</c:v>
                </c:pt>
                <c:pt idx="2031">
                  <c:v>39057</c:v>
                </c:pt>
                <c:pt idx="2032">
                  <c:v>39058</c:v>
                </c:pt>
                <c:pt idx="2033">
                  <c:v>39059</c:v>
                </c:pt>
                <c:pt idx="2034">
                  <c:v>39062</c:v>
                </c:pt>
                <c:pt idx="2035">
                  <c:v>39063</c:v>
                </c:pt>
                <c:pt idx="2036">
                  <c:v>39064</c:v>
                </c:pt>
                <c:pt idx="2037">
                  <c:v>39065</c:v>
                </c:pt>
                <c:pt idx="2038">
                  <c:v>39066</c:v>
                </c:pt>
                <c:pt idx="2039">
                  <c:v>39069</c:v>
                </c:pt>
                <c:pt idx="2040">
                  <c:v>39070</c:v>
                </c:pt>
                <c:pt idx="2041">
                  <c:v>39071</c:v>
                </c:pt>
                <c:pt idx="2042">
                  <c:v>39072</c:v>
                </c:pt>
                <c:pt idx="2043">
                  <c:v>39073</c:v>
                </c:pt>
                <c:pt idx="2044">
                  <c:v>39078</c:v>
                </c:pt>
                <c:pt idx="2045">
                  <c:v>39079</c:v>
                </c:pt>
                <c:pt idx="2046">
                  <c:v>39080</c:v>
                </c:pt>
                <c:pt idx="2047">
                  <c:v>39084</c:v>
                </c:pt>
                <c:pt idx="2048">
                  <c:v>39085</c:v>
                </c:pt>
                <c:pt idx="2049">
                  <c:v>39086</c:v>
                </c:pt>
                <c:pt idx="2050">
                  <c:v>39087</c:v>
                </c:pt>
                <c:pt idx="2051">
                  <c:v>39090</c:v>
                </c:pt>
                <c:pt idx="2052">
                  <c:v>39091</c:v>
                </c:pt>
                <c:pt idx="2053">
                  <c:v>39092</c:v>
                </c:pt>
                <c:pt idx="2054">
                  <c:v>39093</c:v>
                </c:pt>
                <c:pt idx="2055">
                  <c:v>39094</c:v>
                </c:pt>
                <c:pt idx="2056">
                  <c:v>39097</c:v>
                </c:pt>
                <c:pt idx="2057">
                  <c:v>39098</c:v>
                </c:pt>
                <c:pt idx="2058">
                  <c:v>39099</c:v>
                </c:pt>
                <c:pt idx="2059">
                  <c:v>39100</c:v>
                </c:pt>
                <c:pt idx="2060">
                  <c:v>39101</c:v>
                </c:pt>
                <c:pt idx="2061">
                  <c:v>39104</c:v>
                </c:pt>
                <c:pt idx="2062">
                  <c:v>39105</c:v>
                </c:pt>
                <c:pt idx="2063">
                  <c:v>39106</c:v>
                </c:pt>
                <c:pt idx="2064">
                  <c:v>39107</c:v>
                </c:pt>
                <c:pt idx="2065">
                  <c:v>39108</c:v>
                </c:pt>
                <c:pt idx="2066">
                  <c:v>39111</c:v>
                </c:pt>
                <c:pt idx="2067">
                  <c:v>39112</c:v>
                </c:pt>
                <c:pt idx="2068">
                  <c:v>39113</c:v>
                </c:pt>
                <c:pt idx="2069">
                  <c:v>39114</c:v>
                </c:pt>
                <c:pt idx="2070">
                  <c:v>39115</c:v>
                </c:pt>
                <c:pt idx="2071">
                  <c:v>39118</c:v>
                </c:pt>
                <c:pt idx="2072">
                  <c:v>39119</c:v>
                </c:pt>
                <c:pt idx="2073">
                  <c:v>39120</c:v>
                </c:pt>
                <c:pt idx="2074">
                  <c:v>39121</c:v>
                </c:pt>
                <c:pt idx="2075">
                  <c:v>39122</c:v>
                </c:pt>
                <c:pt idx="2076">
                  <c:v>39125</c:v>
                </c:pt>
                <c:pt idx="2077">
                  <c:v>39126</c:v>
                </c:pt>
                <c:pt idx="2078">
                  <c:v>39127</c:v>
                </c:pt>
                <c:pt idx="2079">
                  <c:v>39128</c:v>
                </c:pt>
                <c:pt idx="2080">
                  <c:v>39129</c:v>
                </c:pt>
                <c:pt idx="2081">
                  <c:v>39132</c:v>
                </c:pt>
                <c:pt idx="2082">
                  <c:v>39133</c:v>
                </c:pt>
                <c:pt idx="2083">
                  <c:v>39134</c:v>
                </c:pt>
                <c:pt idx="2084">
                  <c:v>39135</c:v>
                </c:pt>
                <c:pt idx="2085">
                  <c:v>39136</c:v>
                </c:pt>
                <c:pt idx="2086">
                  <c:v>39139</c:v>
                </c:pt>
                <c:pt idx="2087">
                  <c:v>39140</c:v>
                </c:pt>
                <c:pt idx="2088">
                  <c:v>39141</c:v>
                </c:pt>
                <c:pt idx="2089">
                  <c:v>39142</c:v>
                </c:pt>
                <c:pt idx="2090">
                  <c:v>39143</c:v>
                </c:pt>
                <c:pt idx="2091">
                  <c:v>39146</c:v>
                </c:pt>
                <c:pt idx="2092">
                  <c:v>39147</c:v>
                </c:pt>
                <c:pt idx="2093">
                  <c:v>39148</c:v>
                </c:pt>
                <c:pt idx="2094">
                  <c:v>39149</c:v>
                </c:pt>
                <c:pt idx="2095">
                  <c:v>39150</c:v>
                </c:pt>
                <c:pt idx="2096">
                  <c:v>39153</c:v>
                </c:pt>
                <c:pt idx="2097">
                  <c:v>39154</c:v>
                </c:pt>
                <c:pt idx="2098">
                  <c:v>39155</c:v>
                </c:pt>
                <c:pt idx="2099">
                  <c:v>39156</c:v>
                </c:pt>
                <c:pt idx="2100">
                  <c:v>39157</c:v>
                </c:pt>
                <c:pt idx="2101">
                  <c:v>39160</c:v>
                </c:pt>
                <c:pt idx="2102">
                  <c:v>39161</c:v>
                </c:pt>
                <c:pt idx="2103">
                  <c:v>39162</c:v>
                </c:pt>
                <c:pt idx="2104">
                  <c:v>39163</c:v>
                </c:pt>
                <c:pt idx="2105">
                  <c:v>39164</c:v>
                </c:pt>
                <c:pt idx="2106">
                  <c:v>39167</c:v>
                </c:pt>
                <c:pt idx="2107">
                  <c:v>39168</c:v>
                </c:pt>
                <c:pt idx="2108">
                  <c:v>39169</c:v>
                </c:pt>
                <c:pt idx="2109">
                  <c:v>39170</c:v>
                </c:pt>
                <c:pt idx="2110">
                  <c:v>39171</c:v>
                </c:pt>
                <c:pt idx="2111">
                  <c:v>39174</c:v>
                </c:pt>
                <c:pt idx="2112">
                  <c:v>39175</c:v>
                </c:pt>
                <c:pt idx="2113">
                  <c:v>39176</c:v>
                </c:pt>
                <c:pt idx="2114">
                  <c:v>39177</c:v>
                </c:pt>
                <c:pt idx="2115">
                  <c:v>39182</c:v>
                </c:pt>
                <c:pt idx="2116">
                  <c:v>39183</c:v>
                </c:pt>
                <c:pt idx="2117">
                  <c:v>39184</c:v>
                </c:pt>
                <c:pt idx="2118">
                  <c:v>39185</c:v>
                </c:pt>
                <c:pt idx="2119">
                  <c:v>39188</c:v>
                </c:pt>
                <c:pt idx="2120">
                  <c:v>39189</c:v>
                </c:pt>
                <c:pt idx="2121">
                  <c:v>39190</c:v>
                </c:pt>
                <c:pt idx="2122">
                  <c:v>39191</c:v>
                </c:pt>
                <c:pt idx="2123">
                  <c:v>39192</c:v>
                </c:pt>
                <c:pt idx="2124">
                  <c:v>39195</c:v>
                </c:pt>
                <c:pt idx="2125">
                  <c:v>39196</c:v>
                </c:pt>
                <c:pt idx="2126">
                  <c:v>39197</c:v>
                </c:pt>
                <c:pt idx="2127">
                  <c:v>39198</c:v>
                </c:pt>
                <c:pt idx="2128">
                  <c:v>39199</c:v>
                </c:pt>
                <c:pt idx="2129">
                  <c:v>39202</c:v>
                </c:pt>
                <c:pt idx="2130">
                  <c:v>39204</c:v>
                </c:pt>
                <c:pt idx="2131">
                  <c:v>39205</c:v>
                </c:pt>
                <c:pt idx="2132">
                  <c:v>39206</c:v>
                </c:pt>
                <c:pt idx="2133">
                  <c:v>39209</c:v>
                </c:pt>
                <c:pt idx="2134">
                  <c:v>39210</c:v>
                </c:pt>
                <c:pt idx="2135">
                  <c:v>39211</c:v>
                </c:pt>
                <c:pt idx="2136">
                  <c:v>39212</c:v>
                </c:pt>
                <c:pt idx="2137">
                  <c:v>39213</c:v>
                </c:pt>
                <c:pt idx="2138">
                  <c:v>39216</c:v>
                </c:pt>
                <c:pt idx="2139">
                  <c:v>39217</c:v>
                </c:pt>
                <c:pt idx="2140">
                  <c:v>39218</c:v>
                </c:pt>
                <c:pt idx="2141">
                  <c:v>39219</c:v>
                </c:pt>
                <c:pt idx="2142">
                  <c:v>39220</c:v>
                </c:pt>
                <c:pt idx="2143">
                  <c:v>39223</c:v>
                </c:pt>
                <c:pt idx="2144">
                  <c:v>39224</c:v>
                </c:pt>
                <c:pt idx="2145">
                  <c:v>39225</c:v>
                </c:pt>
                <c:pt idx="2146">
                  <c:v>39226</c:v>
                </c:pt>
                <c:pt idx="2147">
                  <c:v>39227</c:v>
                </c:pt>
                <c:pt idx="2148">
                  <c:v>39230</c:v>
                </c:pt>
                <c:pt idx="2149">
                  <c:v>39231</c:v>
                </c:pt>
                <c:pt idx="2150">
                  <c:v>39232</c:v>
                </c:pt>
                <c:pt idx="2151">
                  <c:v>39233</c:v>
                </c:pt>
                <c:pt idx="2152">
                  <c:v>39234</c:v>
                </c:pt>
                <c:pt idx="2153">
                  <c:v>39237</c:v>
                </c:pt>
                <c:pt idx="2154">
                  <c:v>39238</c:v>
                </c:pt>
                <c:pt idx="2155">
                  <c:v>39239</c:v>
                </c:pt>
                <c:pt idx="2156">
                  <c:v>39240</c:v>
                </c:pt>
                <c:pt idx="2157">
                  <c:v>39241</c:v>
                </c:pt>
                <c:pt idx="2158">
                  <c:v>39244</c:v>
                </c:pt>
                <c:pt idx="2159">
                  <c:v>39245</c:v>
                </c:pt>
                <c:pt idx="2160">
                  <c:v>39246</c:v>
                </c:pt>
                <c:pt idx="2161">
                  <c:v>39247</c:v>
                </c:pt>
                <c:pt idx="2162">
                  <c:v>39248</c:v>
                </c:pt>
                <c:pt idx="2163">
                  <c:v>39251</c:v>
                </c:pt>
                <c:pt idx="2164">
                  <c:v>39252</c:v>
                </c:pt>
                <c:pt idx="2165">
                  <c:v>39253</c:v>
                </c:pt>
                <c:pt idx="2166">
                  <c:v>39254</c:v>
                </c:pt>
                <c:pt idx="2167">
                  <c:v>39255</c:v>
                </c:pt>
                <c:pt idx="2168">
                  <c:v>39258</c:v>
                </c:pt>
                <c:pt idx="2169">
                  <c:v>39259</c:v>
                </c:pt>
                <c:pt idx="2170">
                  <c:v>39260</c:v>
                </c:pt>
                <c:pt idx="2171">
                  <c:v>39261</c:v>
                </c:pt>
                <c:pt idx="2172">
                  <c:v>39262</c:v>
                </c:pt>
                <c:pt idx="2173">
                  <c:v>39265</c:v>
                </c:pt>
                <c:pt idx="2174">
                  <c:v>39266</c:v>
                </c:pt>
                <c:pt idx="2175">
                  <c:v>39267</c:v>
                </c:pt>
                <c:pt idx="2176">
                  <c:v>39268</c:v>
                </c:pt>
                <c:pt idx="2177">
                  <c:v>39269</c:v>
                </c:pt>
                <c:pt idx="2178">
                  <c:v>39272</c:v>
                </c:pt>
                <c:pt idx="2179">
                  <c:v>39273</c:v>
                </c:pt>
                <c:pt idx="2180">
                  <c:v>39274</c:v>
                </c:pt>
                <c:pt idx="2181">
                  <c:v>39275</c:v>
                </c:pt>
                <c:pt idx="2182">
                  <c:v>39276</c:v>
                </c:pt>
                <c:pt idx="2183">
                  <c:v>39279</c:v>
                </c:pt>
                <c:pt idx="2184">
                  <c:v>39280</c:v>
                </c:pt>
                <c:pt idx="2185">
                  <c:v>39281</c:v>
                </c:pt>
                <c:pt idx="2186">
                  <c:v>39282</c:v>
                </c:pt>
                <c:pt idx="2187">
                  <c:v>39283</c:v>
                </c:pt>
                <c:pt idx="2188">
                  <c:v>39286</c:v>
                </c:pt>
                <c:pt idx="2189">
                  <c:v>39287</c:v>
                </c:pt>
                <c:pt idx="2190">
                  <c:v>39288</c:v>
                </c:pt>
                <c:pt idx="2191">
                  <c:v>39289</c:v>
                </c:pt>
                <c:pt idx="2192">
                  <c:v>39290</c:v>
                </c:pt>
                <c:pt idx="2193">
                  <c:v>39293</c:v>
                </c:pt>
                <c:pt idx="2194">
                  <c:v>39294</c:v>
                </c:pt>
                <c:pt idx="2195">
                  <c:v>39295</c:v>
                </c:pt>
                <c:pt idx="2196">
                  <c:v>39296</c:v>
                </c:pt>
                <c:pt idx="2197">
                  <c:v>39297</c:v>
                </c:pt>
                <c:pt idx="2198">
                  <c:v>39300</c:v>
                </c:pt>
                <c:pt idx="2199">
                  <c:v>39301</c:v>
                </c:pt>
                <c:pt idx="2200">
                  <c:v>39302</c:v>
                </c:pt>
                <c:pt idx="2201">
                  <c:v>39303</c:v>
                </c:pt>
                <c:pt idx="2202">
                  <c:v>39304</c:v>
                </c:pt>
                <c:pt idx="2203">
                  <c:v>39307</c:v>
                </c:pt>
                <c:pt idx="2204">
                  <c:v>39308</c:v>
                </c:pt>
                <c:pt idx="2205">
                  <c:v>39309</c:v>
                </c:pt>
                <c:pt idx="2206">
                  <c:v>39310</c:v>
                </c:pt>
                <c:pt idx="2207">
                  <c:v>39311</c:v>
                </c:pt>
                <c:pt idx="2208">
                  <c:v>39314</c:v>
                </c:pt>
                <c:pt idx="2209">
                  <c:v>39315</c:v>
                </c:pt>
                <c:pt idx="2210">
                  <c:v>39316</c:v>
                </c:pt>
                <c:pt idx="2211">
                  <c:v>39317</c:v>
                </c:pt>
                <c:pt idx="2212">
                  <c:v>39318</c:v>
                </c:pt>
                <c:pt idx="2213">
                  <c:v>39321</c:v>
                </c:pt>
                <c:pt idx="2214">
                  <c:v>39322</c:v>
                </c:pt>
                <c:pt idx="2215">
                  <c:v>39323</c:v>
                </c:pt>
                <c:pt idx="2216">
                  <c:v>39324</c:v>
                </c:pt>
                <c:pt idx="2217">
                  <c:v>39325</c:v>
                </c:pt>
                <c:pt idx="2218">
                  <c:v>39328</c:v>
                </c:pt>
                <c:pt idx="2219">
                  <c:v>39329</c:v>
                </c:pt>
                <c:pt idx="2220">
                  <c:v>39330</c:v>
                </c:pt>
                <c:pt idx="2221">
                  <c:v>39331</c:v>
                </c:pt>
                <c:pt idx="2222">
                  <c:v>39332</c:v>
                </c:pt>
                <c:pt idx="2223">
                  <c:v>39335</c:v>
                </c:pt>
                <c:pt idx="2224">
                  <c:v>39336</c:v>
                </c:pt>
                <c:pt idx="2225">
                  <c:v>39337</c:v>
                </c:pt>
                <c:pt idx="2226">
                  <c:v>39338</c:v>
                </c:pt>
                <c:pt idx="2227">
                  <c:v>39339</c:v>
                </c:pt>
                <c:pt idx="2228">
                  <c:v>39342</c:v>
                </c:pt>
                <c:pt idx="2229">
                  <c:v>39343</c:v>
                </c:pt>
                <c:pt idx="2230">
                  <c:v>39344</c:v>
                </c:pt>
                <c:pt idx="2231">
                  <c:v>39345</c:v>
                </c:pt>
                <c:pt idx="2232">
                  <c:v>39346</c:v>
                </c:pt>
                <c:pt idx="2233">
                  <c:v>39349</c:v>
                </c:pt>
                <c:pt idx="2234">
                  <c:v>39350</c:v>
                </c:pt>
                <c:pt idx="2235">
                  <c:v>39351</c:v>
                </c:pt>
                <c:pt idx="2236">
                  <c:v>39352</c:v>
                </c:pt>
                <c:pt idx="2237">
                  <c:v>39353</c:v>
                </c:pt>
                <c:pt idx="2238">
                  <c:v>39356</c:v>
                </c:pt>
                <c:pt idx="2239">
                  <c:v>39357</c:v>
                </c:pt>
                <c:pt idx="2240">
                  <c:v>39358</c:v>
                </c:pt>
                <c:pt idx="2241">
                  <c:v>39359</c:v>
                </c:pt>
                <c:pt idx="2242">
                  <c:v>39360</c:v>
                </c:pt>
                <c:pt idx="2243">
                  <c:v>39363</c:v>
                </c:pt>
                <c:pt idx="2244">
                  <c:v>39364</c:v>
                </c:pt>
                <c:pt idx="2245">
                  <c:v>39365</c:v>
                </c:pt>
                <c:pt idx="2246">
                  <c:v>39366</c:v>
                </c:pt>
                <c:pt idx="2247">
                  <c:v>39367</c:v>
                </c:pt>
                <c:pt idx="2248">
                  <c:v>39370</c:v>
                </c:pt>
                <c:pt idx="2249">
                  <c:v>39371</c:v>
                </c:pt>
                <c:pt idx="2250">
                  <c:v>39372</c:v>
                </c:pt>
                <c:pt idx="2251">
                  <c:v>39373</c:v>
                </c:pt>
                <c:pt idx="2252">
                  <c:v>39374</c:v>
                </c:pt>
                <c:pt idx="2253">
                  <c:v>39377</c:v>
                </c:pt>
                <c:pt idx="2254">
                  <c:v>39378</c:v>
                </c:pt>
                <c:pt idx="2255">
                  <c:v>39379</c:v>
                </c:pt>
                <c:pt idx="2256">
                  <c:v>39380</c:v>
                </c:pt>
                <c:pt idx="2257">
                  <c:v>39381</c:v>
                </c:pt>
                <c:pt idx="2258">
                  <c:v>39384</c:v>
                </c:pt>
                <c:pt idx="2259">
                  <c:v>39385</c:v>
                </c:pt>
                <c:pt idx="2260">
                  <c:v>39386</c:v>
                </c:pt>
                <c:pt idx="2261">
                  <c:v>39387</c:v>
                </c:pt>
                <c:pt idx="2262">
                  <c:v>39388</c:v>
                </c:pt>
                <c:pt idx="2263">
                  <c:v>39391</c:v>
                </c:pt>
                <c:pt idx="2264">
                  <c:v>39392</c:v>
                </c:pt>
                <c:pt idx="2265">
                  <c:v>39393</c:v>
                </c:pt>
                <c:pt idx="2266">
                  <c:v>39394</c:v>
                </c:pt>
                <c:pt idx="2267">
                  <c:v>39395</c:v>
                </c:pt>
                <c:pt idx="2268">
                  <c:v>39398</c:v>
                </c:pt>
                <c:pt idx="2269">
                  <c:v>39399</c:v>
                </c:pt>
                <c:pt idx="2270">
                  <c:v>39400</c:v>
                </c:pt>
                <c:pt idx="2271">
                  <c:v>39401</c:v>
                </c:pt>
                <c:pt idx="2272">
                  <c:v>39402</c:v>
                </c:pt>
                <c:pt idx="2273">
                  <c:v>39405</c:v>
                </c:pt>
                <c:pt idx="2274">
                  <c:v>39406</c:v>
                </c:pt>
                <c:pt idx="2275">
                  <c:v>39407</c:v>
                </c:pt>
                <c:pt idx="2276">
                  <c:v>39408</c:v>
                </c:pt>
                <c:pt idx="2277">
                  <c:v>39409</c:v>
                </c:pt>
                <c:pt idx="2278">
                  <c:v>39412</c:v>
                </c:pt>
                <c:pt idx="2279">
                  <c:v>39413</c:v>
                </c:pt>
                <c:pt idx="2280">
                  <c:v>39414</c:v>
                </c:pt>
                <c:pt idx="2281">
                  <c:v>39415</c:v>
                </c:pt>
                <c:pt idx="2282">
                  <c:v>39416</c:v>
                </c:pt>
                <c:pt idx="2283">
                  <c:v>39419</c:v>
                </c:pt>
                <c:pt idx="2284">
                  <c:v>39420</c:v>
                </c:pt>
                <c:pt idx="2285">
                  <c:v>39421</c:v>
                </c:pt>
                <c:pt idx="2286">
                  <c:v>39422</c:v>
                </c:pt>
                <c:pt idx="2287">
                  <c:v>39423</c:v>
                </c:pt>
                <c:pt idx="2288">
                  <c:v>39426</c:v>
                </c:pt>
                <c:pt idx="2289">
                  <c:v>39427</c:v>
                </c:pt>
                <c:pt idx="2290">
                  <c:v>39428</c:v>
                </c:pt>
                <c:pt idx="2291">
                  <c:v>39429</c:v>
                </c:pt>
                <c:pt idx="2292">
                  <c:v>39430</c:v>
                </c:pt>
                <c:pt idx="2293">
                  <c:v>39433</c:v>
                </c:pt>
                <c:pt idx="2294">
                  <c:v>39434</c:v>
                </c:pt>
                <c:pt idx="2295">
                  <c:v>39435</c:v>
                </c:pt>
                <c:pt idx="2296">
                  <c:v>39436</c:v>
                </c:pt>
                <c:pt idx="2297">
                  <c:v>39437</c:v>
                </c:pt>
                <c:pt idx="2298">
                  <c:v>39440</c:v>
                </c:pt>
                <c:pt idx="2299">
                  <c:v>39443</c:v>
                </c:pt>
                <c:pt idx="2300">
                  <c:v>39444</c:v>
                </c:pt>
                <c:pt idx="2301">
                  <c:v>39447</c:v>
                </c:pt>
                <c:pt idx="2302">
                  <c:v>39449</c:v>
                </c:pt>
                <c:pt idx="2303">
                  <c:v>39450</c:v>
                </c:pt>
                <c:pt idx="2304">
                  <c:v>39451</c:v>
                </c:pt>
                <c:pt idx="2305">
                  <c:v>39454</c:v>
                </c:pt>
                <c:pt idx="2306">
                  <c:v>39455</c:v>
                </c:pt>
                <c:pt idx="2307">
                  <c:v>39456</c:v>
                </c:pt>
                <c:pt idx="2308">
                  <c:v>39457</c:v>
                </c:pt>
                <c:pt idx="2309">
                  <c:v>39458</c:v>
                </c:pt>
                <c:pt idx="2310">
                  <c:v>39461</c:v>
                </c:pt>
                <c:pt idx="2311">
                  <c:v>39462</c:v>
                </c:pt>
                <c:pt idx="2312">
                  <c:v>39463</c:v>
                </c:pt>
                <c:pt idx="2313">
                  <c:v>39464</c:v>
                </c:pt>
                <c:pt idx="2314">
                  <c:v>39465</c:v>
                </c:pt>
                <c:pt idx="2315">
                  <c:v>39468</c:v>
                </c:pt>
                <c:pt idx="2316">
                  <c:v>39469</c:v>
                </c:pt>
                <c:pt idx="2317">
                  <c:v>39470</c:v>
                </c:pt>
                <c:pt idx="2318">
                  <c:v>39471</c:v>
                </c:pt>
                <c:pt idx="2319">
                  <c:v>39472</c:v>
                </c:pt>
                <c:pt idx="2320">
                  <c:v>39475</c:v>
                </c:pt>
                <c:pt idx="2321">
                  <c:v>39476</c:v>
                </c:pt>
                <c:pt idx="2322">
                  <c:v>39477</c:v>
                </c:pt>
                <c:pt idx="2323">
                  <c:v>39478</c:v>
                </c:pt>
                <c:pt idx="2324">
                  <c:v>39479</c:v>
                </c:pt>
                <c:pt idx="2325">
                  <c:v>39482</c:v>
                </c:pt>
                <c:pt idx="2326">
                  <c:v>39483</c:v>
                </c:pt>
                <c:pt idx="2327">
                  <c:v>39484</c:v>
                </c:pt>
                <c:pt idx="2328">
                  <c:v>39485</c:v>
                </c:pt>
                <c:pt idx="2329">
                  <c:v>39486</c:v>
                </c:pt>
                <c:pt idx="2330">
                  <c:v>39489</c:v>
                </c:pt>
                <c:pt idx="2331">
                  <c:v>39490</c:v>
                </c:pt>
                <c:pt idx="2332">
                  <c:v>39491</c:v>
                </c:pt>
                <c:pt idx="2333">
                  <c:v>39492</c:v>
                </c:pt>
                <c:pt idx="2334">
                  <c:v>39493</c:v>
                </c:pt>
                <c:pt idx="2335">
                  <c:v>39496</c:v>
                </c:pt>
                <c:pt idx="2336">
                  <c:v>39497</c:v>
                </c:pt>
                <c:pt idx="2337">
                  <c:v>39498</c:v>
                </c:pt>
                <c:pt idx="2338">
                  <c:v>39499</c:v>
                </c:pt>
                <c:pt idx="2339">
                  <c:v>39500</c:v>
                </c:pt>
                <c:pt idx="2340">
                  <c:v>39503</c:v>
                </c:pt>
                <c:pt idx="2341">
                  <c:v>39504</c:v>
                </c:pt>
                <c:pt idx="2342">
                  <c:v>39505</c:v>
                </c:pt>
                <c:pt idx="2343">
                  <c:v>39506</c:v>
                </c:pt>
                <c:pt idx="2344">
                  <c:v>39507</c:v>
                </c:pt>
                <c:pt idx="2345">
                  <c:v>39510</c:v>
                </c:pt>
                <c:pt idx="2346">
                  <c:v>39511</c:v>
                </c:pt>
                <c:pt idx="2347">
                  <c:v>39512</c:v>
                </c:pt>
                <c:pt idx="2348">
                  <c:v>39513</c:v>
                </c:pt>
                <c:pt idx="2349">
                  <c:v>39514</c:v>
                </c:pt>
                <c:pt idx="2350">
                  <c:v>39517</c:v>
                </c:pt>
                <c:pt idx="2351">
                  <c:v>39518</c:v>
                </c:pt>
                <c:pt idx="2352">
                  <c:v>39519</c:v>
                </c:pt>
                <c:pt idx="2353">
                  <c:v>39520</c:v>
                </c:pt>
                <c:pt idx="2354">
                  <c:v>39521</c:v>
                </c:pt>
                <c:pt idx="2355">
                  <c:v>39524</c:v>
                </c:pt>
                <c:pt idx="2356">
                  <c:v>39525</c:v>
                </c:pt>
                <c:pt idx="2357">
                  <c:v>39526</c:v>
                </c:pt>
                <c:pt idx="2358">
                  <c:v>39527</c:v>
                </c:pt>
                <c:pt idx="2359">
                  <c:v>39532</c:v>
                </c:pt>
                <c:pt idx="2360">
                  <c:v>39533</c:v>
                </c:pt>
                <c:pt idx="2361">
                  <c:v>39534</c:v>
                </c:pt>
                <c:pt idx="2362">
                  <c:v>39535</c:v>
                </c:pt>
                <c:pt idx="2363">
                  <c:v>39538</c:v>
                </c:pt>
                <c:pt idx="2364">
                  <c:v>39539</c:v>
                </c:pt>
                <c:pt idx="2365">
                  <c:v>39540</c:v>
                </c:pt>
                <c:pt idx="2366">
                  <c:v>39541</c:v>
                </c:pt>
                <c:pt idx="2367">
                  <c:v>39542</c:v>
                </c:pt>
                <c:pt idx="2368">
                  <c:v>39545</c:v>
                </c:pt>
                <c:pt idx="2369">
                  <c:v>39546</c:v>
                </c:pt>
                <c:pt idx="2370">
                  <c:v>39547</c:v>
                </c:pt>
                <c:pt idx="2371">
                  <c:v>39548</c:v>
                </c:pt>
                <c:pt idx="2372">
                  <c:v>39549</c:v>
                </c:pt>
                <c:pt idx="2373">
                  <c:v>39552</c:v>
                </c:pt>
                <c:pt idx="2374">
                  <c:v>39553</c:v>
                </c:pt>
                <c:pt idx="2375">
                  <c:v>39554</c:v>
                </c:pt>
                <c:pt idx="2376">
                  <c:v>39555</c:v>
                </c:pt>
                <c:pt idx="2377">
                  <c:v>39556</c:v>
                </c:pt>
                <c:pt idx="2378">
                  <c:v>39559</c:v>
                </c:pt>
                <c:pt idx="2379">
                  <c:v>39560</c:v>
                </c:pt>
                <c:pt idx="2380">
                  <c:v>39561</c:v>
                </c:pt>
                <c:pt idx="2381">
                  <c:v>39562</c:v>
                </c:pt>
                <c:pt idx="2382">
                  <c:v>39563</c:v>
                </c:pt>
                <c:pt idx="2383">
                  <c:v>39566</c:v>
                </c:pt>
                <c:pt idx="2384">
                  <c:v>39567</c:v>
                </c:pt>
                <c:pt idx="2385">
                  <c:v>39568</c:v>
                </c:pt>
                <c:pt idx="2386">
                  <c:v>39570</c:v>
                </c:pt>
                <c:pt idx="2387">
                  <c:v>39573</c:v>
                </c:pt>
                <c:pt idx="2388">
                  <c:v>39574</c:v>
                </c:pt>
                <c:pt idx="2389">
                  <c:v>39575</c:v>
                </c:pt>
                <c:pt idx="2390">
                  <c:v>39576</c:v>
                </c:pt>
                <c:pt idx="2391">
                  <c:v>39577</c:v>
                </c:pt>
                <c:pt idx="2392">
                  <c:v>39580</c:v>
                </c:pt>
                <c:pt idx="2393">
                  <c:v>39581</c:v>
                </c:pt>
                <c:pt idx="2394">
                  <c:v>39582</c:v>
                </c:pt>
                <c:pt idx="2395">
                  <c:v>39583</c:v>
                </c:pt>
                <c:pt idx="2396">
                  <c:v>39584</c:v>
                </c:pt>
                <c:pt idx="2397">
                  <c:v>39587</c:v>
                </c:pt>
                <c:pt idx="2398">
                  <c:v>39588</c:v>
                </c:pt>
                <c:pt idx="2399">
                  <c:v>39589</c:v>
                </c:pt>
                <c:pt idx="2400">
                  <c:v>39590</c:v>
                </c:pt>
                <c:pt idx="2401">
                  <c:v>39591</c:v>
                </c:pt>
                <c:pt idx="2402">
                  <c:v>39594</c:v>
                </c:pt>
                <c:pt idx="2403">
                  <c:v>39595</c:v>
                </c:pt>
                <c:pt idx="2404">
                  <c:v>39596</c:v>
                </c:pt>
                <c:pt idx="2405">
                  <c:v>39597</c:v>
                </c:pt>
                <c:pt idx="2406">
                  <c:v>39598</c:v>
                </c:pt>
                <c:pt idx="2407">
                  <c:v>39601</c:v>
                </c:pt>
                <c:pt idx="2408">
                  <c:v>39602</c:v>
                </c:pt>
                <c:pt idx="2409">
                  <c:v>39603</c:v>
                </c:pt>
                <c:pt idx="2410">
                  <c:v>39604</c:v>
                </c:pt>
                <c:pt idx="2411">
                  <c:v>39605</c:v>
                </c:pt>
                <c:pt idx="2412">
                  <c:v>39608</c:v>
                </c:pt>
                <c:pt idx="2413">
                  <c:v>39609</c:v>
                </c:pt>
                <c:pt idx="2414">
                  <c:v>39610</c:v>
                </c:pt>
                <c:pt idx="2415">
                  <c:v>39611</c:v>
                </c:pt>
                <c:pt idx="2416">
                  <c:v>39612</c:v>
                </c:pt>
                <c:pt idx="2417">
                  <c:v>39615</c:v>
                </c:pt>
                <c:pt idx="2418">
                  <c:v>39616</c:v>
                </c:pt>
                <c:pt idx="2419">
                  <c:v>39617</c:v>
                </c:pt>
                <c:pt idx="2420">
                  <c:v>39618</c:v>
                </c:pt>
                <c:pt idx="2421">
                  <c:v>39619</c:v>
                </c:pt>
                <c:pt idx="2422">
                  <c:v>39622</c:v>
                </c:pt>
                <c:pt idx="2423">
                  <c:v>39623</c:v>
                </c:pt>
                <c:pt idx="2424">
                  <c:v>39624</c:v>
                </c:pt>
                <c:pt idx="2425">
                  <c:v>39625</c:v>
                </c:pt>
                <c:pt idx="2426">
                  <c:v>39626</c:v>
                </c:pt>
                <c:pt idx="2427">
                  <c:v>39629</c:v>
                </c:pt>
                <c:pt idx="2428">
                  <c:v>39630</c:v>
                </c:pt>
                <c:pt idx="2429">
                  <c:v>39631</c:v>
                </c:pt>
                <c:pt idx="2430">
                  <c:v>39632</c:v>
                </c:pt>
                <c:pt idx="2431">
                  <c:v>39633</c:v>
                </c:pt>
                <c:pt idx="2432">
                  <c:v>39636</c:v>
                </c:pt>
                <c:pt idx="2433">
                  <c:v>39637</c:v>
                </c:pt>
                <c:pt idx="2434">
                  <c:v>39638</c:v>
                </c:pt>
                <c:pt idx="2435">
                  <c:v>39639</c:v>
                </c:pt>
                <c:pt idx="2436">
                  <c:v>39640</c:v>
                </c:pt>
                <c:pt idx="2437">
                  <c:v>39643</c:v>
                </c:pt>
                <c:pt idx="2438">
                  <c:v>39644</c:v>
                </c:pt>
                <c:pt idx="2439">
                  <c:v>39645</c:v>
                </c:pt>
                <c:pt idx="2440">
                  <c:v>39646</c:v>
                </c:pt>
                <c:pt idx="2441">
                  <c:v>39647</c:v>
                </c:pt>
                <c:pt idx="2442">
                  <c:v>39650</c:v>
                </c:pt>
                <c:pt idx="2443">
                  <c:v>39651</c:v>
                </c:pt>
                <c:pt idx="2444">
                  <c:v>39652</c:v>
                </c:pt>
                <c:pt idx="2445">
                  <c:v>39653</c:v>
                </c:pt>
                <c:pt idx="2446">
                  <c:v>39654</c:v>
                </c:pt>
                <c:pt idx="2447">
                  <c:v>39657</c:v>
                </c:pt>
                <c:pt idx="2448">
                  <c:v>39658</c:v>
                </c:pt>
                <c:pt idx="2449">
                  <c:v>39659</c:v>
                </c:pt>
                <c:pt idx="2450">
                  <c:v>39660</c:v>
                </c:pt>
                <c:pt idx="2451">
                  <c:v>39661</c:v>
                </c:pt>
                <c:pt idx="2452">
                  <c:v>39664</c:v>
                </c:pt>
                <c:pt idx="2453">
                  <c:v>39665</c:v>
                </c:pt>
                <c:pt idx="2454">
                  <c:v>39666</c:v>
                </c:pt>
                <c:pt idx="2455">
                  <c:v>39667</c:v>
                </c:pt>
                <c:pt idx="2456">
                  <c:v>39668</c:v>
                </c:pt>
                <c:pt idx="2457">
                  <c:v>39671</c:v>
                </c:pt>
                <c:pt idx="2458">
                  <c:v>39672</c:v>
                </c:pt>
                <c:pt idx="2459">
                  <c:v>39673</c:v>
                </c:pt>
                <c:pt idx="2460">
                  <c:v>39674</c:v>
                </c:pt>
                <c:pt idx="2461">
                  <c:v>39675</c:v>
                </c:pt>
                <c:pt idx="2462">
                  <c:v>39678</c:v>
                </c:pt>
                <c:pt idx="2463">
                  <c:v>39679</c:v>
                </c:pt>
                <c:pt idx="2464">
                  <c:v>39680</c:v>
                </c:pt>
                <c:pt idx="2465">
                  <c:v>39681</c:v>
                </c:pt>
                <c:pt idx="2466">
                  <c:v>39682</c:v>
                </c:pt>
                <c:pt idx="2467">
                  <c:v>39685</c:v>
                </c:pt>
                <c:pt idx="2468">
                  <c:v>39686</c:v>
                </c:pt>
                <c:pt idx="2469">
                  <c:v>39687</c:v>
                </c:pt>
                <c:pt idx="2470">
                  <c:v>39688</c:v>
                </c:pt>
                <c:pt idx="2471">
                  <c:v>39689</c:v>
                </c:pt>
                <c:pt idx="2472">
                  <c:v>39692</c:v>
                </c:pt>
                <c:pt idx="2473">
                  <c:v>39693</c:v>
                </c:pt>
                <c:pt idx="2474">
                  <c:v>39694</c:v>
                </c:pt>
                <c:pt idx="2475">
                  <c:v>39695</c:v>
                </c:pt>
                <c:pt idx="2476">
                  <c:v>39696</c:v>
                </c:pt>
                <c:pt idx="2477">
                  <c:v>39699</c:v>
                </c:pt>
                <c:pt idx="2478">
                  <c:v>39700</c:v>
                </c:pt>
                <c:pt idx="2479">
                  <c:v>39701</c:v>
                </c:pt>
                <c:pt idx="2480">
                  <c:v>39702</c:v>
                </c:pt>
                <c:pt idx="2481">
                  <c:v>39703</c:v>
                </c:pt>
                <c:pt idx="2482">
                  <c:v>39706</c:v>
                </c:pt>
                <c:pt idx="2483">
                  <c:v>39707</c:v>
                </c:pt>
                <c:pt idx="2484">
                  <c:v>39708</c:v>
                </c:pt>
                <c:pt idx="2485">
                  <c:v>39709</c:v>
                </c:pt>
                <c:pt idx="2486">
                  <c:v>39710</c:v>
                </c:pt>
                <c:pt idx="2487">
                  <c:v>39713</c:v>
                </c:pt>
                <c:pt idx="2488">
                  <c:v>39714</c:v>
                </c:pt>
                <c:pt idx="2489">
                  <c:v>39715</c:v>
                </c:pt>
                <c:pt idx="2490">
                  <c:v>39716</c:v>
                </c:pt>
                <c:pt idx="2491">
                  <c:v>39717</c:v>
                </c:pt>
                <c:pt idx="2492">
                  <c:v>39720</c:v>
                </c:pt>
                <c:pt idx="2493">
                  <c:v>39721</c:v>
                </c:pt>
                <c:pt idx="2494">
                  <c:v>39722</c:v>
                </c:pt>
                <c:pt idx="2495">
                  <c:v>39723</c:v>
                </c:pt>
                <c:pt idx="2496">
                  <c:v>39724</c:v>
                </c:pt>
                <c:pt idx="2497">
                  <c:v>39727</c:v>
                </c:pt>
                <c:pt idx="2498">
                  <c:v>39728</c:v>
                </c:pt>
                <c:pt idx="2499">
                  <c:v>39729</c:v>
                </c:pt>
                <c:pt idx="2500">
                  <c:v>39730</c:v>
                </c:pt>
                <c:pt idx="2501">
                  <c:v>39731</c:v>
                </c:pt>
                <c:pt idx="2502">
                  <c:v>39734</c:v>
                </c:pt>
                <c:pt idx="2503">
                  <c:v>39735</c:v>
                </c:pt>
                <c:pt idx="2504">
                  <c:v>39736</c:v>
                </c:pt>
                <c:pt idx="2505">
                  <c:v>39737</c:v>
                </c:pt>
                <c:pt idx="2506">
                  <c:v>39738</c:v>
                </c:pt>
                <c:pt idx="2507">
                  <c:v>39741</c:v>
                </c:pt>
                <c:pt idx="2508">
                  <c:v>39742</c:v>
                </c:pt>
                <c:pt idx="2509">
                  <c:v>39743</c:v>
                </c:pt>
                <c:pt idx="2510">
                  <c:v>39744</c:v>
                </c:pt>
                <c:pt idx="2511">
                  <c:v>39745</c:v>
                </c:pt>
                <c:pt idx="2512">
                  <c:v>39748</c:v>
                </c:pt>
                <c:pt idx="2513">
                  <c:v>39749</c:v>
                </c:pt>
                <c:pt idx="2514">
                  <c:v>39750</c:v>
                </c:pt>
                <c:pt idx="2515">
                  <c:v>39751</c:v>
                </c:pt>
                <c:pt idx="2516">
                  <c:v>39752</c:v>
                </c:pt>
                <c:pt idx="2517">
                  <c:v>39755</c:v>
                </c:pt>
                <c:pt idx="2518">
                  <c:v>39756</c:v>
                </c:pt>
                <c:pt idx="2519">
                  <c:v>39757</c:v>
                </c:pt>
                <c:pt idx="2520">
                  <c:v>39758</c:v>
                </c:pt>
                <c:pt idx="2521">
                  <c:v>39759</c:v>
                </c:pt>
                <c:pt idx="2522">
                  <c:v>39762</c:v>
                </c:pt>
                <c:pt idx="2523">
                  <c:v>39763</c:v>
                </c:pt>
                <c:pt idx="2524">
                  <c:v>39764</c:v>
                </c:pt>
                <c:pt idx="2525">
                  <c:v>39765</c:v>
                </c:pt>
                <c:pt idx="2526">
                  <c:v>39766</c:v>
                </c:pt>
                <c:pt idx="2527">
                  <c:v>39769</c:v>
                </c:pt>
                <c:pt idx="2528">
                  <c:v>39770</c:v>
                </c:pt>
                <c:pt idx="2529">
                  <c:v>39771</c:v>
                </c:pt>
                <c:pt idx="2530">
                  <c:v>39772</c:v>
                </c:pt>
                <c:pt idx="2531">
                  <c:v>39773</c:v>
                </c:pt>
                <c:pt idx="2532">
                  <c:v>39776</c:v>
                </c:pt>
                <c:pt idx="2533">
                  <c:v>39777</c:v>
                </c:pt>
                <c:pt idx="2534">
                  <c:v>39778</c:v>
                </c:pt>
                <c:pt idx="2535">
                  <c:v>39779</c:v>
                </c:pt>
                <c:pt idx="2536">
                  <c:v>39780</c:v>
                </c:pt>
                <c:pt idx="2537">
                  <c:v>39783</c:v>
                </c:pt>
                <c:pt idx="2538">
                  <c:v>39784</c:v>
                </c:pt>
                <c:pt idx="2539">
                  <c:v>39785</c:v>
                </c:pt>
                <c:pt idx="2540">
                  <c:v>39786</c:v>
                </c:pt>
                <c:pt idx="2541">
                  <c:v>39787</c:v>
                </c:pt>
                <c:pt idx="2542">
                  <c:v>39790</c:v>
                </c:pt>
                <c:pt idx="2543">
                  <c:v>39791</c:v>
                </c:pt>
                <c:pt idx="2544">
                  <c:v>39792</c:v>
                </c:pt>
                <c:pt idx="2545">
                  <c:v>39793</c:v>
                </c:pt>
                <c:pt idx="2546">
                  <c:v>39794</c:v>
                </c:pt>
                <c:pt idx="2547">
                  <c:v>39797</c:v>
                </c:pt>
                <c:pt idx="2548">
                  <c:v>39798</c:v>
                </c:pt>
                <c:pt idx="2549">
                  <c:v>39799</c:v>
                </c:pt>
                <c:pt idx="2550">
                  <c:v>39800</c:v>
                </c:pt>
                <c:pt idx="2551">
                  <c:v>39801</c:v>
                </c:pt>
                <c:pt idx="2552">
                  <c:v>39804</c:v>
                </c:pt>
                <c:pt idx="2553">
                  <c:v>39805</c:v>
                </c:pt>
                <c:pt idx="2554">
                  <c:v>39806</c:v>
                </c:pt>
                <c:pt idx="2555">
                  <c:v>39811</c:v>
                </c:pt>
                <c:pt idx="2556">
                  <c:v>39812</c:v>
                </c:pt>
                <c:pt idx="2557">
                  <c:v>39813</c:v>
                </c:pt>
                <c:pt idx="2558">
                  <c:v>39815</c:v>
                </c:pt>
                <c:pt idx="2559">
                  <c:v>39818</c:v>
                </c:pt>
                <c:pt idx="2560">
                  <c:v>39819</c:v>
                </c:pt>
                <c:pt idx="2561">
                  <c:v>39820</c:v>
                </c:pt>
                <c:pt idx="2562">
                  <c:v>39821</c:v>
                </c:pt>
                <c:pt idx="2563">
                  <c:v>39822</c:v>
                </c:pt>
                <c:pt idx="2564">
                  <c:v>39825</c:v>
                </c:pt>
                <c:pt idx="2565">
                  <c:v>39826</c:v>
                </c:pt>
                <c:pt idx="2566">
                  <c:v>39827</c:v>
                </c:pt>
                <c:pt idx="2567">
                  <c:v>39828</c:v>
                </c:pt>
                <c:pt idx="2568">
                  <c:v>39829</c:v>
                </c:pt>
                <c:pt idx="2569">
                  <c:v>39832</c:v>
                </c:pt>
                <c:pt idx="2570">
                  <c:v>39833</c:v>
                </c:pt>
                <c:pt idx="2571">
                  <c:v>39834</c:v>
                </c:pt>
                <c:pt idx="2572">
                  <c:v>39835</c:v>
                </c:pt>
                <c:pt idx="2573">
                  <c:v>39836</c:v>
                </c:pt>
                <c:pt idx="2574">
                  <c:v>39839</c:v>
                </c:pt>
                <c:pt idx="2575">
                  <c:v>39840</c:v>
                </c:pt>
                <c:pt idx="2576">
                  <c:v>39841</c:v>
                </c:pt>
                <c:pt idx="2577">
                  <c:v>39842</c:v>
                </c:pt>
                <c:pt idx="2578">
                  <c:v>39843</c:v>
                </c:pt>
                <c:pt idx="2579">
                  <c:v>39846</c:v>
                </c:pt>
                <c:pt idx="2580">
                  <c:v>39847</c:v>
                </c:pt>
                <c:pt idx="2581">
                  <c:v>39848</c:v>
                </c:pt>
                <c:pt idx="2582">
                  <c:v>39849</c:v>
                </c:pt>
                <c:pt idx="2583">
                  <c:v>39850</c:v>
                </c:pt>
                <c:pt idx="2584">
                  <c:v>39853</c:v>
                </c:pt>
                <c:pt idx="2585">
                  <c:v>39854</c:v>
                </c:pt>
                <c:pt idx="2586">
                  <c:v>39855</c:v>
                </c:pt>
                <c:pt idx="2587">
                  <c:v>39856</c:v>
                </c:pt>
                <c:pt idx="2588">
                  <c:v>39857</c:v>
                </c:pt>
                <c:pt idx="2589">
                  <c:v>39860</c:v>
                </c:pt>
                <c:pt idx="2590">
                  <c:v>39861</c:v>
                </c:pt>
                <c:pt idx="2591">
                  <c:v>39862</c:v>
                </c:pt>
                <c:pt idx="2592">
                  <c:v>39863</c:v>
                </c:pt>
                <c:pt idx="2593">
                  <c:v>39864</c:v>
                </c:pt>
                <c:pt idx="2594">
                  <c:v>39867</c:v>
                </c:pt>
                <c:pt idx="2595">
                  <c:v>39868</c:v>
                </c:pt>
                <c:pt idx="2596">
                  <c:v>39869</c:v>
                </c:pt>
                <c:pt idx="2597">
                  <c:v>39870</c:v>
                </c:pt>
                <c:pt idx="2598">
                  <c:v>39871</c:v>
                </c:pt>
                <c:pt idx="2599">
                  <c:v>39874</c:v>
                </c:pt>
                <c:pt idx="2600">
                  <c:v>39875</c:v>
                </c:pt>
                <c:pt idx="2601">
                  <c:v>39876</c:v>
                </c:pt>
                <c:pt idx="2602">
                  <c:v>39877</c:v>
                </c:pt>
                <c:pt idx="2603">
                  <c:v>39878</c:v>
                </c:pt>
                <c:pt idx="2604">
                  <c:v>39881</c:v>
                </c:pt>
                <c:pt idx="2605">
                  <c:v>39882</c:v>
                </c:pt>
                <c:pt idx="2606">
                  <c:v>39883</c:v>
                </c:pt>
                <c:pt idx="2607">
                  <c:v>39884</c:v>
                </c:pt>
                <c:pt idx="2608">
                  <c:v>39885</c:v>
                </c:pt>
                <c:pt idx="2609">
                  <c:v>39888</c:v>
                </c:pt>
                <c:pt idx="2610">
                  <c:v>39889</c:v>
                </c:pt>
                <c:pt idx="2611">
                  <c:v>39890</c:v>
                </c:pt>
                <c:pt idx="2612">
                  <c:v>39891</c:v>
                </c:pt>
                <c:pt idx="2613">
                  <c:v>39892</c:v>
                </c:pt>
                <c:pt idx="2614">
                  <c:v>39895</c:v>
                </c:pt>
                <c:pt idx="2615">
                  <c:v>39896</c:v>
                </c:pt>
                <c:pt idx="2616">
                  <c:v>39897</c:v>
                </c:pt>
                <c:pt idx="2617">
                  <c:v>39898</c:v>
                </c:pt>
                <c:pt idx="2618">
                  <c:v>39899</c:v>
                </c:pt>
                <c:pt idx="2619">
                  <c:v>39902</c:v>
                </c:pt>
                <c:pt idx="2620">
                  <c:v>39903</c:v>
                </c:pt>
                <c:pt idx="2621">
                  <c:v>39904</c:v>
                </c:pt>
                <c:pt idx="2622">
                  <c:v>39905</c:v>
                </c:pt>
                <c:pt idx="2623">
                  <c:v>39906</c:v>
                </c:pt>
                <c:pt idx="2624">
                  <c:v>39909</c:v>
                </c:pt>
                <c:pt idx="2625">
                  <c:v>39910</c:v>
                </c:pt>
                <c:pt idx="2626">
                  <c:v>39911</c:v>
                </c:pt>
                <c:pt idx="2627">
                  <c:v>39912</c:v>
                </c:pt>
                <c:pt idx="2628">
                  <c:v>39917</c:v>
                </c:pt>
                <c:pt idx="2629">
                  <c:v>39918</c:v>
                </c:pt>
                <c:pt idx="2630">
                  <c:v>39919</c:v>
                </c:pt>
                <c:pt idx="2631">
                  <c:v>39920</c:v>
                </c:pt>
                <c:pt idx="2632">
                  <c:v>39923</c:v>
                </c:pt>
                <c:pt idx="2633">
                  <c:v>39924</c:v>
                </c:pt>
                <c:pt idx="2634">
                  <c:v>39925</c:v>
                </c:pt>
                <c:pt idx="2635">
                  <c:v>39926</c:v>
                </c:pt>
                <c:pt idx="2636">
                  <c:v>39927</c:v>
                </c:pt>
                <c:pt idx="2637">
                  <c:v>39930</c:v>
                </c:pt>
                <c:pt idx="2638">
                  <c:v>39931</c:v>
                </c:pt>
                <c:pt idx="2639">
                  <c:v>39932</c:v>
                </c:pt>
                <c:pt idx="2640">
                  <c:v>39933</c:v>
                </c:pt>
                <c:pt idx="2641">
                  <c:v>39937</c:v>
                </c:pt>
                <c:pt idx="2642">
                  <c:v>39938</c:v>
                </c:pt>
                <c:pt idx="2643">
                  <c:v>39939</c:v>
                </c:pt>
                <c:pt idx="2644">
                  <c:v>39940</c:v>
                </c:pt>
                <c:pt idx="2645">
                  <c:v>39941</c:v>
                </c:pt>
                <c:pt idx="2646">
                  <c:v>39944</c:v>
                </c:pt>
                <c:pt idx="2647">
                  <c:v>39945</c:v>
                </c:pt>
                <c:pt idx="2648">
                  <c:v>39946</c:v>
                </c:pt>
                <c:pt idx="2649">
                  <c:v>39947</c:v>
                </c:pt>
                <c:pt idx="2650">
                  <c:v>39948</c:v>
                </c:pt>
                <c:pt idx="2651">
                  <c:v>39951</c:v>
                </c:pt>
                <c:pt idx="2652">
                  <c:v>39952</c:v>
                </c:pt>
                <c:pt idx="2653">
                  <c:v>39953</c:v>
                </c:pt>
                <c:pt idx="2654">
                  <c:v>39954</c:v>
                </c:pt>
                <c:pt idx="2655">
                  <c:v>39955</c:v>
                </c:pt>
                <c:pt idx="2656">
                  <c:v>39958</c:v>
                </c:pt>
                <c:pt idx="2657">
                  <c:v>39959</c:v>
                </c:pt>
                <c:pt idx="2658">
                  <c:v>39960</c:v>
                </c:pt>
                <c:pt idx="2659">
                  <c:v>39961</c:v>
                </c:pt>
                <c:pt idx="2660">
                  <c:v>39962</c:v>
                </c:pt>
                <c:pt idx="2661">
                  <c:v>39965</c:v>
                </c:pt>
                <c:pt idx="2662">
                  <c:v>39966</c:v>
                </c:pt>
                <c:pt idx="2663">
                  <c:v>39967</c:v>
                </c:pt>
                <c:pt idx="2664">
                  <c:v>39968</c:v>
                </c:pt>
                <c:pt idx="2665">
                  <c:v>39969</c:v>
                </c:pt>
                <c:pt idx="2666">
                  <c:v>39972</c:v>
                </c:pt>
                <c:pt idx="2667">
                  <c:v>39973</c:v>
                </c:pt>
                <c:pt idx="2668">
                  <c:v>39974</c:v>
                </c:pt>
                <c:pt idx="2669">
                  <c:v>39975</c:v>
                </c:pt>
                <c:pt idx="2670">
                  <c:v>39976</c:v>
                </c:pt>
                <c:pt idx="2671">
                  <c:v>39979</c:v>
                </c:pt>
                <c:pt idx="2672">
                  <c:v>39980</c:v>
                </c:pt>
                <c:pt idx="2673">
                  <c:v>39981</c:v>
                </c:pt>
                <c:pt idx="2674">
                  <c:v>39982</c:v>
                </c:pt>
                <c:pt idx="2675">
                  <c:v>39983</c:v>
                </c:pt>
                <c:pt idx="2676">
                  <c:v>39986</c:v>
                </c:pt>
                <c:pt idx="2677">
                  <c:v>39987</c:v>
                </c:pt>
                <c:pt idx="2678">
                  <c:v>39988</c:v>
                </c:pt>
                <c:pt idx="2679">
                  <c:v>39989</c:v>
                </c:pt>
                <c:pt idx="2680">
                  <c:v>39990</c:v>
                </c:pt>
                <c:pt idx="2681">
                  <c:v>39993</c:v>
                </c:pt>
                <c:pt idx="2682">
                  <c:v>39994</c:v>
                </c:pt>
                <c:pt idx="2683">
                  <c:v>39995</c:v>
                </c:pt>
                <c:pt idx="2684">
                  <c:v>39996</c:v>
                </c:pt>
                <c:pt idx="2685">
                  <c:v>39997</c:v>
                </c:pt>
                <c:pt idx="2686">
                  <c:v>40000</c:v>
                </c:pt>
                <c:pt idx="2687">
                  <c:v>40001</c:v>
                </c:pt>
                <c:pt idx="2688">
                  <c:v>40002</c:v>
                </c:pt>
                <c:pt idx="2689">
                  <c:v>40003</c:v>
                </c:pt>
                <c:pt idx="2690">
                  <c:v>40004</c:v>
                </c:pt>
                <c:pt idx="2691">
                  <c:v>40007</c:v>
                </c:pt>
                <c:pt idx="2692">
                  <c:v>40008</c:v>
                </c:pt>
                <c:pt idx="2693">
                  <c:v>40009</c:v>
                </c:pt>
                <c:pt idx="2694">
                  <c:v>40010</c:v>
                </c:pt>
                <c:pt idx="2695">
                  <c:v>40011</c:v>
                </c:pt>
                <c:pt idx="2696">
                  <c:v>40014</c:v>
                </c:pt>
                <c:pt idx="2697">
                  <c:v>40015</c:v>
                </c:pt>
                <c:pt idx="2698">
                  <c:v>40016</c:v>
                </c:pt>
                <c:pt idx="2699">
                  <c:v>40017</c:v>
                </c:pt>
                <c:pt idx="2700">
                  <c:v>40018</c:v>
                </c:pt>
                <c:pt idx="2701">
                  <c:v>40021</c:v>
                </c:pt>
                <c:pt idx="2702">
                  <c:v>40022</c:v>
                </c:pt>
                <c:pt idx="2703">
                  <c:v>40023</c:v>
                </c:pt>
                <c:pt idx="2704">
                  <c:v>40024</c:v>
                </c:pt>
                <c:pt idx="2705">
                  <c:v>40025</c:v>
                </c:pt>
                <c:pt idx="2706">
                  <c:v>40028</c:v>
                </c:pt>
                <c:pt idx="2707">
                  <c:v>40029</c:v>
                </c:pt>
                <c:pt idx="2708">
                  <c:v>40030</c:v>
                </c:pt>
                <c:pt idx="2709">
                  <c:v>40031</c:v>
                </c:pt>
                <c:pt idx="2710">
                  <c:v>40032</c:v>
                </c:pt>
                <c:pt idx="2711">
                  <c:v>40035</c:v>
                </c:pt>
                <c:pt idx="2712">
                  <c:v>40036</c:v>
                </c:pt>
                <c:pt idx="2713">
                  <c:v>40037</c:v>
                </c:pt>
                <c:pt idx="2714">
                  <c:v>40038</c:v>
                </c:pt>
                <c:pt idx="2715">
                  <c:v>40039</c:v>
                </c:pt>
                <c:pt idx="2716">
                  <c:v>40042</c:v>
                </c:pt>
                <c:pt idx="2717">
                  <c:v>40043</c:v>
                </c:pt>
                <c:pt idx="2718">
                  <c:v>40044</c:v>
                </c:pt>
                <c:pt idx="2719">
                  <c:v>40045</c:v>
                </c:pt>
                <c:pt idx="2720">
                  <c:v>40046</c:v>
                </c:pt>
                <c:pt idx="2721">
                  <c:v>40049</c:v>
                </c:pt>
                <c:pt idx="2722">
                  <c:v>40050</c:v>
                </c:pt>
                <c:pt idx="2723">
                  <c:v>40051</c:v>
                </c:pt>
                <c:pt idx="2724">
                  <c:v>40052</c:v>
                </c:pt>
                <c:pt idx="2725">
                  <c:v>40053</c:v>
                </c:pt>
                <c:pt idx="2726">
                  <c:v>40056</c:v>
                </c:pt>
                <c:pt idx="2727">
                  <c:v>40057</c:v>
                </c:pt>
                <c:pt idx="2728">
                  <c:v>40058</c:v>
                </c:pt>
                <c:pt idx="2729">
                  <c:v>40059</c:v>
                </c:pt>
                <c:pt idx="2730">
                  <c:v>40060</c:v>
                </c:pt>
                <c:pt idx="2731">
                  <c:v>40063</c:v>
                </c:pt>
                <c:pt idx="2732">
                  <c:v>40064</c:v>
                </c:pt>
                <c:pt idx="2733">
                  <c:v>40065</c:v>
                </c:pt>
                <c:pt idx="2734">
                  <c:v>40066</c:v>
                </c:pt>
                <c:pt idx="2735">
                  <c:v>40067</c:v>
                </c:pt>
                <c:pt idx="2736">
                  <c:v>40070</c:v>
                </c:pt>
                <c:pt idx="2737">
                  <c:v>40071</c:v>
                </c:pt>
                <c:pt idx="2738">
                  <c:v>40072</c:v>
                </c:pt>
                <c:pt idx="2739">
                  <c:v>40073</c:v>
                </c:pt>
                <c:pt idx="2740">
                  <c:v>40074</c:v>
                </c:pt>
                <c:pt idx="2741">
                  <c:v>40077</c:v>
                </c:pt>
                <c:pt idx="2742">
                  <c:v>40078</c:v>
                </c:pt>
                <c:pt idx="2743">
                  <c:v>40079</c:v>
                </c:pt>
                <c:pt idx="2744">
                  <c:v>40080</c:v>
                </c:pt>
                <c:pt idx="2745">
                  <c:v>40081</c:v>
                </c:pt>
                <c:pt idx="2746">
                  <c:v>40084</c:v>
                </c:pt>
                <c:pt idx="2747">
                  <c:v>40085</c:v>
                </c:pt>
                <c:pt idx="2748">
                  <c:v>40086</c:v>
                </c:pt>
                <c:pt idx="2749">
                  <c:v>40087</c:v>
                </c:pt>
                <c:pt idx="2750">
                  <c:v>40088</c:v>
                </c:pt>
                <c:pt idx="2751">
                  <c:v>40091</c:v>
                </c:pt>
                <c:pt idx="2752">
                  <c:v>40092</c:v>
                </c:pt>
                <c:pt idx="2753">
                  <c:v>40093</c:v>
                </c:pt>
                <c:pt idx="2754">
                  <c:v>40094</c:v>
                </c:pt>
                <c:pt idx="2755">
                  <c:v>40095</c:v>
                </c:pt>
                <c:pt idx="2756">
                  <c:v>40098</c:v>
                </c:pt>
                <c:pt idx="2757">
                  <c:v>40099</c:v>
                </c:pt>
                <c:pt idx="2758">
                  <c:v>40100</c:v>
                </c:pt>
                <c:pt idx="2759">
                  <c:v>40101</c:v>
                </c:pt>
                <c:pt idx="2760">
                  <c:v>40102</c:v>
                </c:pt>
                <c:pt idx="2761">
                  <c:v>40105</c:v>
                </c:pt>
                <c:pt idx="2762">
                  <c:v>40106</c:v>
                </c:pt>
                <c:pt idx="2763">
                  <c:v>40107</c:v>
                </c:pt>
                <c:pt idx="2764">
                  <c:v>40108</c:v>
                </c:pt>
                <c:pt idx="2765">
                  <c:v>40109</c:v>
                </c:pt>
                <c:pt idx="2766">
                  <c:v>40112</c:v>
                </c:pt>
                <c:pt idx="2767">
                  <c:v>40113</c:v>
                </c:pt>
                <c:pt idx="2768">
                  <c:v>40114</c:v>
                </c:pt>
                <c:pt idx="2769">
                  <c:v>40115</c:v>
                </c:pt>
                <c:pt idx="2770">
                  <c:v>40116</c:v>
                </c:pt>
                <c:pt idx="2771">
                  <c:v>40119</c:v>
                </c:pt>
                <c:pt idx="2772">
                  <c:v>40120</c:v>
                </c:pt>
                <c:pt idx="2773">
                  <c:v>40121</c:v>
                </c:pt>
                <c:pt idx="2774">
                  <c:v>40122</c:v>
                </c:pt>
                <c:pt idx="2775">
                  <c:v>40123</c:v>
                </c:pt>
                <c:pt idx="2776">
                  <c:v>40126</c:v>
                </c:pt>
                <c:pt idx="2777">
                  <c:v>40127</c:v>
                </c:pt>
                <c:pt idx="2778">
                  <c:v>40128</c:v>
                </c:pt>
                <c:pt idx="2779">
                  <c:v>40129</c:v>
                </c:pt>
                <c:pt idx="2780">
                  <c:v>40130</c:v>
                </c:pt>
                <c:pt idx="2781">
                  <c:v>40133</c:v>
                </c:pt>
                <c:pt idx="2782">
                  <c:v>40134</c:v>
                </c:pt>
                <c:pt idx="2783">
                  <c:v>40135</c:v>
                </c:pt>
                <c:pt idx="2784">
                  <c:v>40136</c:v>
                </c:pt>
                <c:pt idx="2785">
                  <c:v>40137</c:v>
                </c:pt>
                <c:pt idx="2786">
                  <c:v>40140</c:v>
                </c:pt>
                <c:pt idx="2787">
                  <c:v>40141</c:v>
                </c:pt>
                <c:pt idx="2788">
                  <c:v>40142</c:v>
                </c:pt>
                <c:pt idx="2789">
                  <c:v>40143</c:v>
                </c:pt>
                <c:pt idx="2790">
                  <c:v>40144</c:v>
                </c:pt>
                <c:pt idx="2791">
                  <c:v>40147</c:v>
                </c:pt>
                <c:pt idx="2792">
                  <c:v>40148</c:v>
                </c:pt>
                <c:pt idx="2793">
                  <c:v>40149</c:v>
                </c:pt>
                <c:pt idx="2794">
                  <c:v>40150</c:v>
                </c:pt>
                <c:pt idx="2795">
                  <c:v>40151</c:v>
                </c:pt>
                <c:pt idx="2796">
                  <c:v>40154</c:v>
                </c:pt>
                <c:pt idx="2797">
                  <c:v>40155</c:v>
                </c:pt>
                <c:pt idx="2798">
                  <c:v>40156</c:v>
                </c:pt>
                <c:pt idx="2799">
                  <c:v>40157</c:v>
                </c:pt>
                <c:pt idx="2800">
                  <c:v>40158</c:v>
                </c:pt>
                <c:pt idx="2801">
                  <c:v>40161</c:v>
                </c:pt>
                <c:pt idx="2802">
                  <c:v>40162</c:v>
                </c:pt>
                <c:pt idx="2803">
                  <c:v>40163</c:v>
                </c:pt>
                <c:pt idx="2804">
                  <c:v>40164</c:v>
                </c:pt>
                <c:pt idx="2805">
                  <c:v>40165</c:v>
                </c:pt>
                <c:pt idx="2806">
                  <c:v>40168</c:v>
                </c:pt>
                <c:pt idx="2807">
                  <c:v>40169</c:v>
                </c:pt>
                <c:pt idx="2808">
                  <c:v>40170</c:v>
                </c:pt>
                <c:pt idx="2809">
                  <c:v>40171</c:v>
                </c:pt>
                <c:pt idx="2810">
                  <c:v>40175</c:v>
                </c:pt>
                <c:pt idx="2811">
                  <c:v>40176</c:v>
                </c:pt>
                <c:pt idx="2812">
                  <c:v>40177</c:v>
                </c:pt>
                <c:pt idx="2813">
                  <c:v>40178</c:v>
                </c:pt>
                <c:pt idx="2814">
                  <c:v>40182</c:v>
                </c:pt>
                <c:pt idx="2815">
                  <c:v>40183</c:v>
                </c:pt>
                <c:pt idx="2816">
                  <c:v>40184</c:v>
                </c:pt>
                <c:pt idx="2817">
                  <c:v>40185</c:v>
                </c:pt>
                <c:pt idx="2818">
                  <c:v>40186</c:v>
                </c:pt>
                <c:pt idx="2819">
                  <c:v>40189</c:v>
                </c:pt>
                <c:pt idx="2820">
                  <c:v>40190</c:v>
                </c:pt>
                <c:pt idx="2821">
                  <c:v>40191</c:v>
                </c:pt>
                <c:pt idx="2822">
                  <c:v>40192</c:v>
                </c:pt>
                <c:pt idx="2823">
                  <c:v>40193</c:v>
                </c:pt>
                <c:pt idx="2824">
                  <c:v>40196</c:v>
                </c:pt>
                <c:pt idx="2825">
                  <c:v>40197</c:v>
                </c:pt>
                <c:pt idx="2826">
                  <c:v>40198</c:v>
                </c:pt>
                <c:pt idx="2827">
                  <c:v>40199</c:v>
                </c:pt>
                <c:pt idx="2828">
                  <c:v>40200</c:v>
                </c:pt>
                <c:pt idx="2829">
                  <c:v>40203</c:v>
                </c:pt>
                <c:pt idx="2830">
                  <c:v>40204</c:v>
                </c:pt>
                <c:pt idx="2831">
                  <c:v>40205</c:v>
                </c:pt>
                <c:pt idx="2832">
                  <c:v>40206</c:v>
                </c:pt>
                <c:pt idx="2833">
                  <c:v>40207</c:v>
                </c:pt>
                <c:pt idx="2834">
                  <c:v>40210</c:v>
                </c:pt>
                <c:pt idx="2835">
                  <c:v>40211</c:v>
                </c:pt>
                <c:pt idx="2836">
                  <c:v>40212</c:v>
                </c:pt>
                <c:pt idx="2837">
                  <c:v>40213</c:v>
                </c:pt>
                <c:pt idx="2838">
                  <c:v>40214</c:v>
                </c:pt>
                <c:pt idx="2839">
                  <c:v>40217</c:v>
                </c:pt>
                <c:pt idx="2840">
                  <c:v>40218</c:v>
                </c:pt>
                <c:pt idx="2841">
                  <c:v>40219</c:v>
                </c:pt>
                <c:pt idx="2842">
                  <c:v>40220</c:v>
                </c:pt>
                <c:pt idx="2843">
                  <c:v>40221</c:v>
                </c:pt>
                <c:pt idx="2844">
                  <c:v>40224</c:v>
                </c:pt>
                <c:pt idx="2845">
                  <c:v>40225</c:v>
                </c:pt>
                <c:pt idx="2846">
                  <c:v>40226</c:v>
                </c:pt>
                <c:pt idx="2847">
                  <c:v>40227</c:v>
                </c:pt>
                <c:pt idx="2848">
                  <c:v>40228</c:v>
                </c:pt>
                <c:pt idx="2849">
                  <c:v>40231</c:v>
                </c:pt>
                <c:pt idx="2850">
                  <c:v>40232</c:v>
                </c:pt>
                <c:pt idx="2851">
                  <c:v>40233</c:v>
                </c:pt>
                <c:pt idx="2852">
                  <c:v>40234</c:v>
                </c:pt>
                <c:pt idx="2853">
                  <c:v>40235</c:v>
                </c:pt>
                <c:pt idx="2854">
                  <c:v>40238</c:v>
                </c:pt>
                <c:pt idx="2855">
                  <c:v>40239</c:v>
                </c:pt>
                <c:pt idx="2856">
                  <c:v>40240</c:v>
                </c:pt>
                <c:pt idx="2857">
                  <c:v>40241</c:v>
                </c:pt>
                <c:pt idx="2858">
                  <c:v>40242</c:v>
                </c:pt>
                <c:pt idx="2859">
                  <c:v>40245</c:v>
                </c:pt>
                <c:pt idx="2860">
                  <c:v>40246</c:v>
                </c:pt>
                <c:pt idx="2861">
                  <c:v>40247</c:v>
                </c:pt>
                <c:pt idx="2862">
                  <c:v>40248</c:v>
                </c:pt>
                <c:pt idx="2863">
                  <c:v>40249</c:v>
                </c:pt>
                <c:pt idx="2864">
                  <c:v>40252</c:v>
                </c:pt>
                <c:pt idx="2865">
                  <c:v>40253</c:v>
                </c:pt>
                <c:pt idx="2866">
                  <c:v>40254</c:v>
                </c:pt>
                <c:pt idx="2867">
                  <c:v>40255</c:v>
                </c:pt>
                <c:pt idx="2868">
                  <c:v>40256</c:v>
                </c:pt>
                <c:pt idx="2869">
                  <c:v>40259</c:v>
                </c:pt>
                <c:pt idx="2870">
                  <c:v>40260</c:v>
                </c:pt>
                <c:pt idx="2871">
                  <c:v>40261</c:v>
                </c:pt>
                <c:pt idx="2872">
                  <c:v>40262</c:v>
                </c:pt>
                <c:pt idx="2873">
                  <c:v>40263</c:v>
                </c:pt>
                <c:pt idx="2874">
                  <c:v>40266</c:v>
                </c:pt>
                <c:pt idx="2875">
                  <c:v>40267</c:v>
                </c:pt>
                <c:pt idx="2876">
                  <c:v>40268</c:v>
                </c:pt>
                <c:pt idx="2877">
                  <c:v>40269</c:v>
                </c:pt>
                <c:pt idx="2878">
                  <c:v>40273</c:v>
                </c:pt>
                <c:pt idx="2879">
                  <c:v>40274</c:v>
                </c:pt>
                <c:pt idx="2880">
                  <c:v>40275</c:v>
                </c:pt>
                <c:pt idx="2881">
                  <c:v>40276</c:v>
                </c:pt>
                <c:pt idx="2882">
                  <c:v>40277</c:v>
                </c:pt>
                <c:pt idx="2883">
                  <c:v>40280</c:v>
                </c:pt>
                <c:pt idx="2884">
                  <c:v>40281</c:v>
                </c:pt>
                <c:pt idx="2885">
                  <c:v>40282</c:v>
                </c:pt>
                <c:pt idx="2886">
                  <c:v>40283</c:v>
                </c:pt>
                <c:pt idx="2887">
                  <c:v>40284</c:v>
                </c:pt>
                <c:pt idx="2888">
                  <c:v>40287</c:v>
                </c:pt>
                <c:pt idx="2889">
                  <c:v>40288</c:v>
                </c:pt>
                <c:pt idx="2890">
                  <c:v>40289</c:v>
                </c:pt>
                <c:pt idx="2891">
                  <c:v>40290</c:v>
                </c:pt>
                <c:pt idx="2892">
                  <c:v>40291</c:v>
                </c:pt>
                <c:pt idx="2893">
                  <c:v>40294</c:v>
                </c:pt>
                <c:pt idx="2894">
                  <c:v>40295</c:v>
                </c:pt>
                <c:pt idx="2895">
                  <c:v>40296</c:v>
                </c:pt>
                <c:pt idx="2896">
                  <c:v>40297</c:v>
                </c:pt>
                <c:pt idx="2897">
                  <c:v>40298</c:v>
                </c:pt>
                <c:pt idx="2898">
                  <c:v>40301</c:v>
                </c:pt>
                <c:pt idx="2899">
                  <c:v>40302</c:v>
                </c:pt>
                <c:pt idx="2900">
                  <c:v>40303</c:v>
                </c:pt>
                <c:pt idx="2901">
                  <c:v>40304</c:v>
                </c:pt>
                <c:pt idx="2902">
                  <c:v>40305</c:v>
                </c:pt>
                <c:pt idx="2903">
                  <c:v>40308</c:v>
                </c:pt>
                <c:pt idx="2904">
                  <c:v>40309</c:v>
                </c:pt>
                <c:pt idx="2905">
                  <c:v>40310</c:v>
                </c:pt>
                <c:pt idx="2906">
                  <c:v>40311</c:v>
                </c:pt>
                <c:pt idx="2907">
                  <c:v>40312</c:v>
                </c:pt>
                <c:pt idx="2908">
                  <c:v>40315</c:v>
                </c:pt>
                <c:pt idx="2909">
                  <c:v>40316</c:v>
                </c:pt>
                <c:pt idx="2910">
                  <c:v>40317</c:v>
                </c:pt>
                <c:pt idx="2911">
                  <c:v>40318</c:v>
                </c:pt>
                <c:pt idx="2912">
                  <c:v>40319</c:v>
                </c:pt>
                <c:pt idx="2913">
                  <c:v>40322</c:v>
                </c:pt>
                <c:pt idx="2914">
                  <c:v>40323</c:v>
                </c:pt>
                <c:pt idx="2915">
                  <c:v>40324</c:v>
                </c:pt>
                <c:pt idx="2916">
                  <c:v>40325</c:v>
                </c:pt>
                <c:pt idx="2917">
                  <c:v>40326</c:v>
                </c:pt>
                <c:pt idx="2918">
                  <c:v>40329</c:v>
                </c:pt>
                <c:pt idx="2919">
                  <c:v>40330</c:v>
                </c:pt>
                <c:pt idx="2920">
                  <c:v>40331</c:v>
                </c:pt>
                <c:pt idx="2921">
                  <c:v>40332</c:v>
                </c:pt>
                <c:pt idx="2922">
                  <c:v>40333</c:v>
                </c:pt>
                <c:pt idx="2923">
                  <c:v>40336</c:v>
                </c:pt>
                <c:pt idx="2924">
                  <c:v>40337</c:v>
                </c:pt>
                <c:pt idx="2925">
                  <c:v>40338</c:v>
                </c:pt>
                <c:pt idx="2926">
                  <c:v>40339</c:v>
                </c:pt>
                <c:pt idx="2927">
                  <c:v>40340</c:v>
                </c:pt>
                <c:pt idx="2928">
                  <c:v>40343</c:v>
                </c:pt>
                <c:pt idx="2929">
                  <c:v>40344</c:v>
                </c:pt>
                <c:pt idx="2930">
                  <c:v>40345</c:v>
                </c:pt>
                <c:pt idx="2931">
                  <c:v>40346</c:v>
                </c:pt>
                <c:pt idx="2932">
                  <c:v>40347</c:v>
                </c:pt>
                <c:pt idx="2933">
                  <c:v>40350</c:v>
                </c:pt>
                <c:pt idx="2934">
                  <c:v>40351</c:v>
                </c:pt>
                <c:pt idx="2935">
                  <c:v>40352</c:v>
                </c:pt>
                <c:pt idx="2936">
                  <c:v>40353</c:v>
                </c:pt>
                <c:pt idx="2937">
                  <c:v>40354</c:v>
                </c:pt>
                <c:pt idx="2938">
                  <c:v>40357</c:v>
                </c:pt>
                <c:pt idx="2939">
                  <c:v>40358</c:v>
                </c:pt>
                <c:pt idx="2940">
                  <c:v>40359</c:v>
                </c:pt>
                <c:pt idx="2941">
                  <c:v>40360</c:v>
                </c:pt>
                <c:pt idx="2942">
                  <c:v>40361</c:v>
                </c:pt>
                <c:pt idx="2943">
                  <c:v>40364</c:v>
                </c:pt>
                <c:pt idx="2944">
                  <c:v>40365</c:v>
                </c:pt>
                <c:pt idx="2945">
                  <c:v>40366</c:v>
                </c:pt>
                <c:pt idx="2946">
                  <c:v>40367</c:v>
                </c:pt>
                <c:pt idx="2947">
                  <c:v>40368</c:v>
                </c:pt>
                <c:pt idx="2948">
                  <c:v>40371</c:v>
                </c:pt>
                <c:pt idx="2949">
                  <c:v>40372</c:v>
                </c:pt>
                <c:pt idx="2950">
                  <c:v>40373</c:v>
                </c:pt>
                <c:pt idx="2951">
                  <c:v>40374</c:v>
                </c:pt>
                <c:pt idx="2952">
                  <c:v>40375</c:v>
                </c:pt>
                <c:pt idx="2953">
                  <c:v>40378</c:v>
                </c:pt>
                <c:pt idx="2954">
                  <c:v>40379</c:v>
                </c:pt>
                <c:pt idx="2955">
                  <c:v>40380</c:v>
                </c:pt>
                <c:pt idx="2956">
                  <c:v>40381</c:v>
                </c:pt>
                <c:pt idx="2957">
                  <c:v>40382</c:v>
                </c:pt>
                <c:pt idx="2958">
                  <c:v>40385</c:v>
                </c:pt>
                <c:pt idx="2959">
                  <c:v>40386</c:v>
                </c:pt>
                <c:pt idx="2960">
                  <c:v>40387</c:v>
                </c:pt>
                <c:pt idx="2961">
                  <c:v>40388</c:v>
                </c:pt>
                <c:pt idx="2962">
                  <c:v>40389</c:v>
                </c:pt>
                <c:pt idx="2963">
                  <c:v>40392</c:v>
                </c:pt>
                <c:pt idx="2964">
                  <c:v>40393</c:v>
                </c:pt>
                <c:pt idx="2965">
                  <c:v>40394</c:v>
                </c:pt>
                <c:pt idx="2966">
                  <c:v>40395</c:v>
                </c:pt>
                <c:pt idx="2967">
                  <c:v>40396</c:v>
                </c:pt>
                <c:pt idx="2968">
                  <c:v>40399</c:v>
                </c:pt>
                <c:pt idx="2969">
                  <c:v>40400</c:v>
                </c:pt>
                <c:pt idx="2970">
                  <c:v>40401</c:v>
                </c:pt>
                <c:pt idx="2971">
                  <c:v>40402</c:v>
                </c:pt>
                <c:pt idx="2972">
                  <c:v>40403</c:v>
                </c:pt>
                <c:pt idx="2973">
                  <c:v>40406</c:v>
                </c:pt>
                <c:pt idx="2974">
                  <c:v>40407</c:v>
                </c:pt>
                <c:pt idx="2975">
                  <c:v>40408</c:v>
                </c:pt>
                <c:pt idx="2976">
                  <c:v>40409</c:v>
                </c:pt>
                <c:pt idx="2977">
                  <c:v>40410</c:v>
                </c:pt>
                <c:pt idx="2978">
                  <c:v>40413</c:v>
                </c:pt>
                <c:pt idx="2979">
                  <c:v>40414</c:v>
                </c:pt>
                <c:pt idx="2980">
                  <c:v>40415</c:v>
                </c:pt>
                <c:pt idx="2981">
                  <c:v>40416</c:v>
                </c:pt>
                <c:pt idx="2982">
                  <c:v>40417</c:v>
                </c:pt>
                <c:pt idx="2983">
                  <c:v>40420</c:v>
                </c:pt>
                <c:pt idx="2984">
                  <c:v>40421</c:v>
                </c:pt>
                <c:pt idx="2985">
                  <c:v>40422</c:v>
                </c:pt>
                <c:pt idx="2986">
                  <c:v>40423</c:v>
                </c:pt>
                <c:pt idx="2987">
                  <c:v>40424</c:v>
                </c:pt>
                <c:pt idx="2988">
                  <c:v>40427</c:v>
                </c:pt>
                <c:pt idx="2989">
                  <c:v>40428</c:v>
                </c:pt>
                <c:pt idx="2990">
                  <c:v>40429</c:v>
                </c:pt>
                <c:pt idx="2991">
                  <c:v>40430</c:v>
                </c:pt>
                <c:pt idx="2992">
                  <c:v>40431</c:v>
                </c:pt>
                <c:pt idx="2993">
                  <c:v>40434</c:v>
                </c:pt>
                <c:pt idx="2994">
                  <c:v>40435</c:v>
                </c:pt>
                <c:pt idx="2995">
                  <c:v>40436</c:v>
                </c:pt>
                <c:pt idx="2996">
                  <c:v>40437</c:v>
                </c:pt>
                <c:pt idx="2997">
                  <c:v>40438</c:v>
                </c:pt>
                <c:pt idx="2998">
                  <c:v>40441</c:v>
                </c:pt>
                <c:pt idx="2999">
                  <c:v>40442</c:v>
                </c:pt>
                <c:pt idx="3000">
                  <c:v>40443</c:v>
                </c:pt>
                <c:pt idx="3001">
                  <c:v>40444</c:v>
                </c:pt>
                <c:pt idx="3002">
                  <c:v>40445</c:v>
                </c:pt>
                <c:pt idx="3003">
                  <c:v>40448</c:v>
                </c:pt>
                <c:pt idx="3004">
                  <c:v>40449</c:v>
                </c:pt>
                <c:pt idx="3005">
                  <c:v>40450</c:v>
                </c:pt>
                <c:pt idx="3006">
                  <c:v>40451</c:v>
                </c:pt>
                <c:pt idx="3007">
                  <c:v>40452</c:v>
                </c:pt>
                <c:pt idx="3008">
                  <c:v>40455</c:v>
                </c:pt>
                <c:pt idx="3009">
                  <c:v>40456</c:v>
                </c:pt>
                <c:pt idx="3010">
                  <c:v>40457</c:v>
                </c:pt>
                <c:pt idx="3011">
                  <c:v>40458</c:v>
                </c:pt>
                <c:pt idx="3012">
                  <c:v>40459</c:v>
                </c:pt>
                <c:pt idx="3013">
                  <c:v>40462</c:v>
                </c:pt>
                <c:pt idx="3014">
                  <c:v>40463</c:v>
                </c:pt>
                <c:pt idx="3015">
                  <c:v>40464</c:v>
                </c:pt>
                <c:pt idx="3016">
                  <c:v>40465</c:v>
                </c:pt>
                <c:pt idx="3017">
                  <c:v>40466</c:v>
                </c:pt>
                <c:pt idx="3018">
                  <c:v>40469</c:v>
                </c:pt>
                <c:pt idx="3019">
                  <c:v>40470</c:v>
                </c:pt>
                <c:pt idx="3020">
                  <c:v>40471</c:v>
                </c:pt>
                <c:pt idx="3021">
                  <c:v>40472</c:v>
                </c:pt>
                <c:pt idx="3022">
                  <c:v>40473</c:v>
                </c:pt>
                <c:pt idx="3023">
                  <c:v>40476</c:v>
                </c:pt>
                <c:pt idx="3024">
                  <c:v>40477</c:v>
                </c:pt>
                <c:pt idx="3025">
                  <c:v>40478</c:v>
                </c:pt>
                <c:pt idx="3026">
                  <c:v>40479</c:v>
                </c:pt>
                <c:pt idx="3027">
                  <c:v>40480</c:v>
                </c:pt>
                <c:pt idx="3028">
                  <c:v>40483</c:v>
                </c:pt>
                <c:pt idx="3029">
                  <c:v>40484</c:v>
                </c:pt>
                <c:pt idx="3030">
                  <c:v>40485</c:v>
                </c:pt>
                <c:pt idx="3031">
                  <c:v>40486</c:v>
                </c:pt>
                <c:pt idx="3032">
                  <c:v>40487</c:v>
                </c:pt>
                <c:pt idx="3033">
                  <c:v>40490</c:v>
                </c:pt>
                <c:pt idx="3034">
                  <c:v>40491</c:v>
                </c:pt>
                <c:pt idx="3035">
                  <c:v>40492</c:v>
                </c:pt>
                <c:pt idx="3036">
                  <c:v>40493</c:v>
                </c:pt>
                <c:pt idx="3037">
                  <c:v>40494</c:v>
                </c:pt>
                <c:pt idx="3038">
                  <c:v>40497</c:v>
                </c:pt>
                <c:pt idx="3039">
                  <c:v>40498</c:v>
                </c:pt>
                <c:pt idx="3040">
                  <c:v>40499</c:v>
                </c:pt>
                <c:pt idx="3041">
                  <c:v>40500</c:v>
                </c:pt>
                <c:pt idx="3042">
                  <c:v>40501</c:v>
                </c:pt>
                <c:pt idx="3043">
                  <c:v>40504</c:v>
                </c:pt>
                <c:pt idx="3044">
                  <c:v>40505</c:v>
                </c:pt>
                <c:pt idx="3045">
                  <c:v>40506</c:v>
                </c:pt>
                <c:pt idx="3046">
                  <c:v>40507</c:v>
                </c:pt>
                <c:pt idx="3047">
                  <c:v>40508</c:v>
                </c:pt>
                <c:pt idx="3048">
                  <c:v>40511</c:v>
                </c:pt>
                <c:pt idx="3049">
                  <c:v>40512</c:v>
                </c:pt>
                <c:pt idx="3050">
                  <c:v>40513</c:v>
                </c:pt>
                <c:pt idx="3051">
                  <c:v>40514</c:v>
                </c:pt>
                <c:pt idx="3052">
                  <c:v>40515</c:v>
                </c:pt>
                <c:pt idx="3053">
                  <c:v>40518</c:v>
                </c:pt>
                <c:pt idx="3054">
                  <c:v>40519</c:v>
                </c:pt>
                <c:pt idx="3055">
                  <c:v>40520</c:v>
                </c:pt>
                <c:pt idx="3056">
                  <c:v>40521</c:v>
                </c:pt>
                <c:pt idx="3057">
                  <c:v>40522</c:v>
                </c:pt>
                <c:pt idx="3058">
                  <c:v>40525</c:v>
                </c:pt>
                <c:pt idx="3059">
                  <c:v>40526</c:v>
                </c:pt>
                <c:pt idx="3060">
                  <c:v>40527</c:v>
                </c:pt>
                <c:pt idx="3061">
                  <c:v>40528</c:v>
                </c:pt>
                <c:pt idx="3062">
                  <c:v>40529</c:v>
                </c:pt>
                <c:pt idx="3063">
                  <c:v>40532</c:v>
                </c:pt>
                <c:pt idx="3064">
                  <c:v>40533</c:v>
                </c:pt>
                <c:pt idx="3065">
                  <c:v>40534</c:v>
                </c:pt>
                <c:pt idx="3066">
                  <c:v>40535</c:v>
                </c:pt>
                <c:pt idx="3067">
                  <c:v>40536</c:v>
                </c:pt>
                <c:pt idx="3068">
                  <c:v>40539</c:v>
                </c:pt>
                <c:pt idx="3069">
                  <c:v>40540</c:v>
                </c:pt>
                <c:pt idx="3070">
                  <c:v>40541</c:v>
                </c:pt>
                <c:pt idx="3071">
                  <c:v>40542</c:v>
                </c:pt>
                <c:pt idx="3072">
                  <c:v>40543</c:v>
                </c:pt>
                <c:pt idx="3073">
                  <c:v>40546</c:v>
                </c:pt>
                <c:pt idx="3074">
                  <c:v>40547</c:v>
                </c:pt>
                <c:pt idx="3075">
                  <c:v>40548</c:v>
                </c:pt>
                <c:pt idx="3076">
                  <c:v>40549</c:v>
                </c:pt>
                <c:pt idx="3077">
                  <c:v>40550</c:v>
                </c:pt>
                <c:pt idx="3078">
                  <c:v>40553</c:v>
                </c:pt>
                <c:pt idx="3079">
                  <c:v>40554</c:v>
                </c:pt>
                <c:pt idx="3080">
                  <c:v>40555</c:v>
                </c:pt>
                <c:pt idx="3081">
                  <c:v>40556</c:v>
                </c:pt>
                <c:pt idx="3082">
                  <c:v>40557</c:v>
                </c:pt>
                <c:pt idx="3083">
                  <c:v>40560</c:v>
                </c:pt>
                <c:pt idx="3084">
                  <c:v>40561</c:v>
                </c:pt>
                <c:pt idx="3085">
                  <c:v>40562</c:v>
                </c:pt>
                <c:pt idx="3086">
                  <c:v>40563</c:v>
                </c:pt>
                <c:pt idx="3087">
                  <c:v>40564</c:v>
                </c:pt>
                <c:pt idx="3088">
                  <c:v>40567</c:v>
                </c:pt>
                <c:pt idx="3089">
                  <c:v>40568</c:v>
                </c:pt>
                <c:pt idx="3090">
                  <c:v>40569</c:v>
                </c:pt>
                <c:pt idx="3091">
                  <c:v>40570</c:v>
                </c:pt>
                <c:pt idx="3092">
                  <c:v>40571</c:v>
                </c:pt>
                <c:pt idx="3093">
                  <c:v>40574</c:v>
                </c:pt>
                <c:pt idx="3094">
                  <c:v>40575</c:v>
                </c:pt>
                <c:pt idx="3095">
                  <c:v>40576</c:v>
                </c:pt>
                <c:pt idx="3096">
                  <c:v>40577</c:v>
                </c:pt>
                <c:pt idx="3097">
                  <c:v>40578</c:v>
                </c:pt>
                <c:pt idx="3098">
                  <c:v>40581</c:v>
                </c:pt>
                <c:pt idx="3099">
                  <c:v>40582</c:v>
                </c:pt>
                <c:pt idx="3100">
                  <c:v>40583</c:v>
                </c:pt>
                <c:pt idx="3101">
                  <c:v>40584</c:v>
                </c:pt>
                <c:pt idx="3102">
                  <c:v>40585</c:v>
                </c:pt>
                <c:pt idx="3103">
                  <c:v>40588</c:v>
                </c:pt>
                <c:pt idx="3104">
                  <c:v>40589</c:v>
                </c:pt>
                <c:pt idx="3105">
                  <c:v>40590</c:v>
                </c:pt>
                <c:pt idx="3106">
                  <c:v>40591</c:v>
                </c:pt>
                <c:pt idx="3107">
                  <c:v>40592</c:v>
                </c:pt>
                <c:pt idx="3108">
                  <c:v>40595</c:v>
                </c:pt>
                <c:pt idx="3109">
                  <c:v>40596</c:v>
                </c:pt>
                <c:pt idx="3110">
                  <c:v>40597</c:v>
                </c:pt>
                <c:pt idx="3111">
                  <c:v>40598</c:v>
                </c:pt>
                <c:pt idx="3112">
                  <c:v>40599</c:v>
                </c:pt>
                <c:pt idx="3113">
                  <c:v>40602</c:v>
                </c:pt>
                <c:pt idx="3114">
                  <c:v>40603</c:v>
                </c:pt>
                <c:pt idx="3115">
                  <c:v>40604</c:v>
                </c:pt>
                <c:pt idx="3116">
                  <c:v>40605</c:v>
                </c:pt>
                <c:pt idx="3117">
                  <c:v>40606</c:v>
                </c:pt>
                <c:pt idx="3118">
                  <c:v>40609</c:v>
                </c:pt>
                <c:pt idx="3119">
                  <c:v>40610</c:v>
                </c:pt>
                <c:pt idx="3120">
                  <c:v>40611</c:v>
                </c:pt>
                <c:pt idx="3121">
                  <c:v>40612</c:v>
                </c:pt>
                <c:pt idx="3122">
                  <c:v>40613</c:v>
                </c:pt>
                <c:pt idx="3123">
                  <c:v>40616</c:v>
                </c:pt>
                <c:pt idx="3124">
                  <c:v>40617</c:v>
                </c:pt>
                <c:pt idx="3125">
                  <c:v>40618</c:v>
                </c:pt>
                <c:pt idx="3126">
                  <c:v>40619</c:v>
                </c:pt>
                <c:pt idx="3127">
                  <c:v>40620</c:v>
                </c:pt>
                <c:pt idx="3128">
                  <c:v>40623</c:v>
                </c:pt>
                <c:pt idx="3129">
                  <c:v>40624</c:v>
                </c:pt>
                <c:pt idx="3130">
                  <c:v>40625</c:v>
                </c:pt>
                <c:pt idx="3131">
                  <c:v>40626</c:v>
                </c:pt>
                <c:pt idx="3132">
                  <c:v>40627</c:v>
                </c:pt>
                <c:pt idx="3133">
                  <c:v>40630</c:v>
                </c:pt>
                <c:pt idx="3134">
                  <c:v>40631</c:v>
                </c:pt>
                <c:pt idx="3135">
                  <c:v>40632</c:v>
                </c:pt>
                <c:pt idx="3136">
                  <c:v>40633</c:v>
                </c:pt>
                <c:pt idx="3137">
                  <c:v>40634</c:v>
                </c:pt>
                <c:pt idx="3138">
                  <c:v>40637</c:v>
                </c:pt>
                <c:pt idx="3139">
                  <c:v>40638</c:v>
                </c:pt>
                <c:pt idx="3140">
                  <c:v>40639</c:v>
                </c:pt>
                <c:pt idx="3141">
                  <c:v>40640</c:v>
                </c:pt>
                <c:pt idx="3142">
                  <c:v>40641</c:v>
                </c:pt>
                <c:pt idx="3143">
                  <c:v>40644</c:v>
                </c:pt>
                <c:pt idx="3144">
                  <c:v>40645</c:v>
                </c:pt>
                <c:pt idx="3145">
                  <c:v>40646</c:v>
                </c:pt>
                <c:pt idx="3146">
                  <c:v>40647</c:v>
                </c:pt>
                <c:pt idx="3147">
                  <c:v>40648</c:v>
                </c:pt>
                <c:pt idx="3148">
                  <c:v>40651</c:v>
                </c:pt>
                <c:pt idx="3149">
                  <c:v>40652</c:v>
                </c:pt>
                <c:pt idx="3150">
                  <c:v>40653</c:v>
                </c:pt>
                <c:pt idx="3151">
                  <c:v>40654</c:v>
                </c:pt>
                <c:pt idx="3152">
                  <c:v>40659</c:v>
                </c:pt>
                <c:pt idx="3153">
                  <c:v>40660</c:v>
                </c:pt>
                <c:pt idx="3154">
                  <c:v>40661</c:v>
                </c:pt>
                <c:pt idx="3155">
                  <c:v>40662</c:v>
                </c:pt>
                <c:pt idx="3156">
                  <c:v>40665</c:v>
                </c:pt>
                <c:pt idx="3157">
                  <c:v>40666</c:v>
                </c:pt>
                <c:pt idx="3158">
                  <c:v>40667</c:v>
                </c:pt>
                <c:pt idx="3159">
                  <c:v>40668</c:v>
                </c:pt>
                <c:pt idx="3160">
                  <c:v>40669</c:v>
                </c:pt>
                <c:pt idx="3161">
                  <c:v>40672</c:v>
                </c:pt>
                <c:pt idx="3162">
                  <c:v>40673</c:v>
                </c:pt>
                <c:pt idx="3163">
                  <c:v>40674</c:v>
                </c:pt>
                <c:pt idx="3164">
                  <c:v>40675</c:v>
                </c:pt>
                <c:pt idx="3165">
                  <c:v>40676</c:v>
                </c:pt>
                <c:pt idx="3166">
                  <c:v>40679</c:v>
                </c:pt>
                <c:pt idx="3167">
                  <c:v>40680</c:v>
                </c:pt>
                <c:pt idx="3168">
                  <c:v>40681</c:v>
                </c:pt>
                <c:pt idx="3169">
                  <c:v>40682</c:v>
                </c:pt>
                <c:pt idx="3170">
                  <c:v>40683</c:v>
                </c:pt>
                <c:pt idx="3171">
                  <c:v>40686</c:v>
                </c:pt>
                <c:pt idx="3172">
                  <c:v>40687</c:v>
                </c:pt>
                <c:pt idx="3173">
                  <c:v>40688</c:v>
                </c:pt>
                <c:pt idx="3174">
                  <c:v>40689</c:v>
                </c:pt>
                <c:pt idx="3175">
                  <c:v>40690</c:v>
                </c:pt>
                <c:pt idx="3176">
                  <c:v>40693</c:v>
                </c:pt>
                <c:pt idx="3177">
                  <c:v>40694</c:v>
                </c:pt>
                <c:pt idx="3178">
                  <c:v>40695</c:v>
                </c:pt>
                <c:pt idx="3179">
                  <c:v>40696</c:v>
                </c:pt>
                <c:pt idx="3180">
                  <c:v>40697</c:v>
                </c:pt>
                <c:pt idx="3181">
                  <c:v>40700</c:v>
                </c:pt>
                <c:pt idx="3182">
                  <c:v>40701</c:v>
                </c:pt>
                <c:pt idx="3183">
                  <c:v>40702</c:v>
                </c:pt>
                <c:pt idx="3184">
                  <c:v>40703</c:v>
                </c:pt>
                <c:pt idx="3185">
                  <c:v>40704</c:v>
                </c:pt>
                <c:pt idx="3186">
                  <c:v>40707</c:v>
                </c:pt>
                <c:pt idx="3187">
                  <c:v>40708</c:v>
                </c:pt>
                <c:pt idx="3188">
                  <c:v>40709</c:v>
                </c:pt>
                <c:pt idx="3189">
                  <c:v>40710</c:v>
                </c:pt>
                <c:pt idx="3190">
                  <c:v>40711</c:v>
                </c:pt>
                <c:pt idx="3191">
                  <c:v>40714</c:v>
                </c:pt>
                <c:pt idx="3192">
                  <c:v>40715</c:v>
                </c:pt>
                <c:pt idx="3193">
                  <c:v>40716</c:v>
                </c:pt>
                <c:pt idx="3194">
                  <c:v>40717</c:v>
                </c:pt>
                <c:pt idx="3195">
                  <c:v>40718</c:v>
                </c:pt>
                <c:pt idx="3196">
                  <c:v>40721</c:v>
                </c:pt>
                <c:pt idx="3197">
                  <c:v>40722</c:v>
                </c:pt>
                <c:pt idx="3198">
                  <c:v>40723</c:v>
                </c:pt>
                <c:pt idx="3199">
                  <c:v>40724</c:v>
                </c:pt>
                <c:pt idx="3200">
                  <c:v>40725</c:v>
                </c:pt>
                <c:pt idx="3201">
                  <c:v>40728</c:v>
                </c:pt>
                <c:pt idx="3202">
                  <c:v>40729</c:v>
                </c:pt>
                <c:pt idx="3203">
                  <c:v>40730</c:v>
                </c:pt>
                <c:pt idx="3204">
                  <c:v>40731</c:v>
                </c:pt>
                <c:pt idx="3205">
                  <c:v>40732</c:v>
                </c:pt>
                <c:pt idx="3206">
                  <c:v>40735</c:v>
                </c:pt>
                <c:pt idx="3207">
                  <c:v>40736</c:v>
                </c:pt>
                <c:pt idx="3208">
                  <c:v>40737</c:v>
                </c:pt>
                <c:pt idx="3209">
                  <c:v>40738</c:v>
                </c:pt>
                <c:pt idx="3210">
                  <c:v>40739</c:v>
                </c:pt>
                <c:pt idx="3211">
                  <c:v>40742</c:v>
                </c:pt>
                <c:pt idx="3212">
                  <c:v>40743</c:v>
                </c:pt>
                <c:pt idx="3213">
                  <c:v>40744</c:v>
                </c:pt>
                <c:pt idx="3214">
                  <c:v>40745</c:v>
                </c:pt>
                <c:pt idx="3215">
                  <c:v>40746</c:v>
                </c:pt>
                <c:pt idx="3216">
                  <c:v>40749</c:v>
                </c:pt>
                <c:pt idx="3217">
                  <c:v>40750</c:v>
                </c:pt>
                <c:pt idx="3218">
                  <c:v>40751</c:v>
                </c:pt>
                <c:pt idx="3219">
                  <c:v>40752</c:v>
                </c:pt>
                <c:pt idx="3220">
                  <c:v>40753</c:v>
                </c:pt>
                <c:pt idx="3221">
                  <c:v>40756</c:v>
                </c:pt>
                <c:pt idx="3222">
                  <c:v>40757</c:v>
                </c:pt>
                <c:pt idx="3223">
                  <c:v>40758</c:v>
                </c:pt>
                <c:pt idx="3224">
                  <c:v>40759</c:v>
                </c:pt>
                <c:pt idx="3225">
                  <c:v>40760</c:v>
                </c:pt>
                <c:pt idx="3226">
                  <c:v>40763</c:v>
                </c:pt>
                <c:pt idx="3227">
                  <c:v>40764</c:v>
                </c:pt>
                <c:pt idx="3228">
                  <c:v>40765</c:v>
                </c:pt>
                <c:pt idx="3229">
                  <c:v>40766</c:v>
                </c:pt>
                <c:pt idx="3230">
                  <c:v>40767</c:v>
                </c:pt>
                <c:pt idx="3231">
                  <c:v>40770</c:v>
                </c:pt>
                <c:pt idx="3232">
                  <c:v>40771</c:v>
                </c:pt>
                <c:pt idx="3233">
                  <c:v>40772</c:v>
                </c:pt>
                <c:pt idx="3234">
                  <c:v>40773</c:v>
                </c:pt>
                <c:pt idx="3235">
                  <c:v>40774</c:v>
                </c:pt>
                <c:pt idx="3236">
                  <c:v>40777</c:v>
                </c:pt>
                <c:pt idx="3237">
                  <c:v>40778</c:v>
                </c:pt>
                <c:pt idx="3238">
                  <c:v>40779</c:v>
                </c:pt>
                <c:pt idx="3239">
                  <c:v>40780</c:v>
                </c:pt>
                <c:pt idx="3240">
                  <c:v>40781</c:v>
                </c:pt>
                <c:pt idx="3241">
                  <c:v>40784</c:v>
                </c:pt>
                <c:pt idx="3242">
                  <c:v>40785</c:v>
                </c:pt>
                <c:pt idx="3243">
                  <c:v>40786</c:v>
                </c:pt>
                <c:pt idx="3244">
                  <c:v>40787</c:v>
                </c:pt>
                <c:pt idx="3245">
                  <c:v>40788</c:v>
                </c:pt>
                <c:pt idx="3246">
                  <c:v>40791</c:v>
                </c:pt>
                <c:pt idx="3247">
                  <c:v>40792</c:v>
                </c:pt>
                <c:pt idx="3248">
                  <c:v>40793</c:v>
                </c:pt>
                <c:pt idx="3249">
                  <c:v>40794</c:v>
                </c:pt>
                <c:pt idx="3250">
                  <c:v>40795</c:v>
                </c:pt>
                <c:pt idx="3251">
                  <c:v>40798</c:v>
                </c:pt>
                <c:pt idx="3252">
                  <c:v>40799</c:v>
                </c:pt>
                <c:pt idx="3253">
                  <c:v>40800</c:v>
                </c:pt>
                <c:pt idx="3254">
                  <c:v>40801</c:v>
                </c:pt>
                <c:pt idx="3255">
                  <c:v>40802</c:v>
                </c:pt>
                <c:pt idx="3256">
                  <c:v>40805</c:v>
                </c:pt>
                <c:pt idx="3257">
                  <c:v>40806</c:v>
                </c:pt>
                <c:pt idx="3258">
                  <c:v>40807</c:v>
                </c:pt>
                <c:pt idx="3259">
                  <c:v>40808</c:v>
                </c:pt>
                <c:pt idx="3260">
                  <c:v>40809</c:v>
                </c:pt>
                <c:pt idx="3261">
                  <c:v>40812</c:v>
                </c:pt>
                <c:pt idx="3262">
                  <c:v>40813</c:v>
                </c:pt>
                <c:pt idx="3263">
                  <c:v>40814</c:v>
                </c:pt>
                <c:pt idx="3264">
                  <c:v>40815</c:v>
                </c:pt>
                <c:pt idx="3265">
                  <c:v>40816</c:v>
                </c:pt>
                <c:pt idx="3266">
                  <c:v>40819</c:v>
                </c:pt>
                <c:pt idx="3267">
                  <c:v>40820</c:v>
                </c:pt>
                <c:pt idx="3268">
                  <c:v>40821</c:v>
                </c:pt>
                <c:pt idx="3269">
                  <c:v>40822</c:v>
                </c:pt>
                <c:pt idx="3270">
                  <c:v>40823</c:v>
                </c:pt>
                <c:pt idx="3271">
                  <c:v>40826</c:v>
                </c:pt>
                <c:pt idx="3272">
                  <c:v>40827</c:v>
                </c:pt>
                <c:pt idx="3273">
                  <c:v>40828</c:v>
                </c:pt>
                <c:pt idx="3274">
                  <c:v>40829</c:v>
                </c:pt>
                <c:pt idx="3275">
                  <c:v>40830</c:v>
                </c:pt>
                <c:pt idx="3276">
                  <c:v>40833</c:v>
                </c:pt>
                <c:pt idx="3277">
                  <c:v>40834</c:v>
                </c:pt>
                <c:pt idx="3278">
                  <c:v>40835</c:v>
                </c:pt>
                <c:pt idx="3279">
                  <c:v>40836</c:v>
                </c:pt>
                <c:pt idx="3280">
                  <c:v>40837</c:v>
                </c:pt>
                <c:pt idx="3281">
                  <c:v>40840</c:v>
                </c:pt>
                <c:pt idx="3282">
                  <c:v>40841</c:v>
                </c:pt>
                <c:pt idx="3283">
                  <c:v>40842</c:v>
                </c:pt>
                <c:pt idx="3284">
                  <c:v>40843</c:v>
                </c:pt>
                <c:pt idx="3285">
                  <c:v>40844</c:v>
                </c:pt>
                <c:pt idx="3286">
                  <c:v>40847</c:v>
                </c:pt>
                <c:pt idx="3287">
                  <c:v>40848</c:v>
                </c:pt>
                <c:pt idx="3288">
                  <c:v>40849</c:v>
                </c:pt>
                <c:pt idx="3289">
                  <c:v>40850</c:v>
                </c:pt>
                <c:pt idx="3290">
                  <c:v>40851</c:v>
                </c:pt>
                <c:pt idx="3291">
                  <c:v>40854</c:v>
                </c:pt>
                <c:pt idx="3292">
                  <c:v>40855</c:v>
                </c:pt>
                <c:pt idx="3293">
                  <c:v>40856</c:v>
                </c:pt>
                <c:pt idx="3294">
                  <c:v>40857</c:v>
                </c:pt>
                <c:pt idx="3295">
                  <c:v>40858</c:v>
                </c:pt>
                <c:pt idx="3296">
                  <c:v>40861</c:v>
                </c:pt>
                <c:pt idx="3297">
                  <c:v>40862</c:v>
                </c:pt>
                <c:pt idx="3298">
                  <c:v>40863</c:v>
                </c:pt>
                <c:pt idx="3299">
                  <c:v>40864</c:v>
                </c:pt>
                <c:pt idx="3300">
                  <c:v>40865</c:v>
                </c:pt>
                <c:pt idx="3301">
                  <c:v>40868</c:v>
                </c:pt>
                <c:pt idx="3302">
                  <c:v>40869</c:v>
                </c:pt>
                <c:pt idx="3303">
                  <c:v>40870</c:v>
                </c:pt>
                <c:pt idx="3304">
                  <c:v>40871</c:v>
                </c:pt>
                <c:pt idx="3305">
                  <c:v>40872</c:v>
                </c:pt>
                <c:pt idx="3306">
                  <c:v>40875</c:v>
                </c:pt>
                <c:pt idx="3307">
                  <c:v>40876</c:v>
                </c:pt>
                <c:pt idx="3308">
                  <c:v>40877</c:v>
                </c:pt>
                <c:pt idx="3309">
                  <c:v>40878</c:v>
                </c:pt>
                <c:pt idx="3310">
                  <c:v>40879</c:v>
                </c:pt>
                <c:pt idx="3311">
                  <c:v>40882</c:v>
                </c:pt>
                <c:pt idx="3312">
                  <c:v>40883</c:v>
                </c:pt>
                <c:pt idx="3313">
                  <c:v>40884</c:v>
                </c:pt>
                <c:pt idx="3314">
                  <c:v>40885</c:v>
                </c:pt>
                <c:pt idx="3315">
                  <c:v>40886</c:v>
                </c:pt>
                <c:pt idx="3316">
                  <c:v>40889</c:v>
                </c:pt>
                <c:pt idx="3317">
                  <c:v>40890</c:v>
                </c:pt>
                <c:pt idx="3318">
                  <c:v>40891</c:v>
                </c:pt>
                <c:pt idx="3319">
                  <c:v>40892</c:v>
                </c:pt>
                <c:pt idx="3320">
                  <c:v>40893</c:v>
                </c:pt>
                <c:pt idx="3321">
                  <c:v>40896</c:v>
                </c:pt>
                <c:pt idx="3322">
                  <c:v>40897</c:v>
                </c:pt>
                <c:pt idx="3323">
                  <c:v>40898</c:v>
                </c:pt>
                <c:pt idx="3324">
                  <c:v>40899</c:v>
                </c:pt>
                <c:pt idx="3325">
                  <c:v>40900</c:v>
                </c:pt>
                <c:pt idx="3326">
                  <c:v>40904</c:v>
                </c:pt>
                <c:pt idx="3327">
                  <c:v>40905</c:v>
                </c:pt>
                <c:pt idx="3328">
                  <c:v>40906</c:v>
                </c:pt>
                <c:pt idx="3329">
                  <c:v>40907</c:v>
                </c:pt>
                <c:pt idx="3330">
                  <c:v>40910</c:v>
                </c:pt>
                <c:pt idx="3331">
                  <c:v>40911</c:v>
                </c:pt>
                <c:pt idx="3332">
                  <c:v>40912</c:v>
                </c:pt>
                <c:pt idx="3333">
                  <c:v>40913</c:v>
                </c:pt>
                <c:pt idx="3334">
                  <c:v>40914</c:v>
                </c:pt>
                <c:pt idx="3335">
                  <c:v>40917</c:v>
                </c:pt>
                <c:pt idx="3336">
                  <c:v>40918</c:v>
                </c:pt>
                <c:pt idx="3337">
                  <c:v>40919</c:v>
                </c:pt>
                <c:pt idx="3338">
                  <c:v>40920</c:v>
                </c:pt>
                <c:pt idx="3339">
                  <c:v>40921</c:v>
                </c:pt>
                <c:pt idx="3340">
                  <c:v>40924</c:v>
                </c:pt>
                <c:pt idx="3341">
                  <c:v>40925</c:v>
                </c:pt>
                <c:pt idx="3342">
                  <c:v>40926</c:v>
                </c:pt>
                <c:pt idx="3343">
                  <c:v>40927</c:v>
                </c:pt>
                <c:pt idx="3344">
                  <c:v>40928</c:v>
                </c:pt>
                <c:pt idx="3345">
                  <c:v>40931</c:v>
                </c:pt>
                <c:pt idx="3346">
                  <c:v>40932</c:v>
                </c:pt>
                <c:pt idx="3347">
                  <c:v>40933</c:v>
                </c:pt>
                <c:pt idx="3348">
                  <c:v>40934</c:v>
                </c:pt>
                <c:pt idx="3349">
                  <c:v>40935</c:v>
                </c:pt>
                <c:pt idx="3350">
                  <c:v>40938</c:v>
                </c:pt>
                <c:pt idx="3351">
                  <c:v>40939</c:v>
                </c:pt>
                <c:pt idx="3352">
                  <c:v>40940</c:v>
                </c:pt>
                <c:pt idx="3353">
                  <c:v>40941</c:v>
                </c:pt>
                <c:pt idx="3354">
                  <c:v>40942</c:v>
                </c:pt>
                <c:pt idx="3355">
                  <c:v>40945</c:v>
                </c:pt>
                <c:pt idx="3356">
                  <c:v>40946</c:v>
                </c:pt>
                <c:pt idx="3357">
                  <c:v>40947</c:v>
                </c:pt>
                <c:pt idx="3358">
                  <c:v>40948</c:v>
                </c:pt>
                <c:pt idx="3359">
                  <c:v>40949</c:v>
                </c:pt>
                <c:pt idx="3360">
                  <c:v>40952</c:v>
                </c:pt>
                <c:pt idx="3361">
                  <c:v>40953</c:v>
                </c:pt>
                <c:pt idx="3362">
                  <c:v>40954</c:v>
                </c:pt>
                <c:pt idx="3363">
                  <c:v>40955</c:v>
                </c:pt>
                <c:pt idx="3364">
                  <c:v>40956</c:v>
                </c:pt>
                <c:pt idx="3365">
                  <c:v>40959</c:v>
                </c:pt>
                <c:pt idx="3366">
                  <c:v>40960</c:v>
                </c:pt>
                <c:pt idx="3367">
                  <c:v>40961</c:v>
                </c:pt>
                <c:pt idx="3368">
                  <c:v>40962</c:v>
                </c:pt>
                <c:pt idx="3369">
                  <c:v>40963</c:v>
                </c:pt>
                <c:pt idx="3370">
                  <c:v>40966</c:v>
                </c:pt>
                <c:pt idx="3371">
                  <c:v>40967</c:v>
                </c:pt>
                <c:pt idx="3372">
                  <c:v>40968</c:v>
                </c:pt>
                <c:pt idx="3373">
                  <c:v>40969</c:v>
                </c:pt>
                <c:pt idx="3374">
                  <c:v>40970</c:v>
                </c:pt>
                <c:pt idx="3375">
                  <c:v>40973</c:v>
                </c:pt>
                <c:pt idx="3376">
                  <c:v>40974</c:v>
                </c:pt>
                <c:pt idx="3377">
                  <c:v>40975</c:v>
                </c:pt>
                <c:pt idx="3378">
                  <c:v>40976</c:v>
                </c:pt>
                <c:pt idx="3379">
                  <c:v>40977</c:v>
                </c:pt>
                <c:pt idx="3380">
                  <c:v>40980</c:v>
                </c:pt>
                <c:pt idx="3381">
                  <c:v>40981</c:v>
                </c:pt>
                <c:pt idx="3382">
                  <c:v>40982</c:v>
                </c:pt>
                <c:pt idx="3383">
                  <c:v>40983</c:v>
                </c:pt>
                <c:pt idx="3384">
                  <c:v>40984</c:v>
                </c:pt>
                <c:pt idx="3385">
                  <c:v>40987</c:v>
                </c:pt>
                <c:pt idx="3386">
                  <c:v>40988</c:v>
                </c:pt>
                <c:pt idx="3387">
                  <c:v>40989</c:v>
                </c:pt>
                <c:pt idx="3388">
                  <c:v>40990</c:v>
                </c:pt>
                <c:pt idx="3389">
                  <c:v>40991</c:v>
                </c:pt>
                <c:pt idx="3390">
                  <c:v>40994</c:v>
                </c:pt>
                <c:pt idx="3391">
                  <c:v>40995</c:v>
                </c:pt>
                <c:pt idx="3392">
                  <c:v>40996</c:v>
                </c:pt>
                <c:pt idx="3393">
                  <c:v>40997</c:v>
                </c:pt>
                <c:pt idx="3394">
                  <c:v>40998</c:v>
                </c:pt>
                <c:pt idx="3395">
                  <c:v>41001</c:v>
                </c:pt>
                <c:pt idx="3396">
                  <c:v>41002</c:v>
                </c:pt>
                <c:pt idx="3397">
                  <c:v>41003</c:v>
                </c:pt>
                <c:pt idx="3398">
                  <c:v>41004</c:v>
                </c:pt>
                <c:pt idx="3399">
                  <c:v>41009</c:v>
                </c:pt>
                <c:pt idx="3400">
                  <c:v>41010</c:v>
                </c:pt>
                <c:pt idx="3401">
                  <c:v>41011</c:v>
                </c:pt>
                <c:pt idx="3402">
                  <c:v>41012</c:v>
                </c:pt>
                <c:pt idx="3403">
                  <c:v>41015</c:v>
                </c:pt>
                <c:pt idx="3404">
                  <c:v>41016</c:v>
                </c:pt>
                <c:pt idx="3405">
                  <c:v>41017</c:v>
                </c:pt>
                <c:pt idx="3406">
                  <c:v>41018</c:v>
                </c:pt>
                <c:pt idx="3407">
                  <c:v>41019</c:v>
                </c:pt>
                <c:pt idx="3408">
                  <c:v>41022</c:v>
                </c:pt>
                <c:pt idx="3409">
                  <c:v>41023</c:v>
                </c:pt>
                <c:pt idx="3410">
                  <c:v>41024</c:v>
                </c:pt>
                <c:pt idx="3411">
                  <c:v>41025</c:v>
                </c:pt>
                <c:pt idx="3412">
                  <c:v>41026</c:v>
                </c:pt>
                <c:pt idx="3413">
                  <c:v>41029</c:v>
                </c:pt>
                <c:pt idx="3414">
                  <c:v>41031</c:v>
                </c:pt>
                <c:pt idx="3415">
                  <c:v>41032</c:v>
                </c:pt>
                <c:pt idx="3416">
                  <c:v>41033</c:v>
                </c:pt>
                <c:pt idx="3417">
                  <c:v>41036</c:v>
                </c:pt>
                <c:pt idx="3418">
                  <c:v>41037</c:v>
                </c:pt>
                <c:pt idx="3419">
                  <c:v>41038</c:v>
                </c:pt>
                <c:pt idx="3420">
                  <c:v>41039</c:v>
                </c:pt>
                <c:pt idx="3421">
                  <c:v>41040</c:v>
                </c:pt>
                <c:pt idx="3422">
                  <c:v>41043</c:v>
                </c:pt>
                <c:pt idx="3423">
                  <c:v>41044</c:v>
                </c:pt>
                <c:pt idx="3424">
                  <c:v>41045</c:v>
                </c:pt>
                <c:pt idx="3425">
                  <c:v>41046</c:v>
                </c:pt>
                <c:pt idx="3426">
                  <c:v>41047</c:v>
                </c:pt>
                <c:pt idx="3427">
                  <c:v>41050</c:v>
                </c:pt>
                <c:pt idx="3428">
                  <c:v>41051</c:v>
                </c:pt>
                <c:pt idx="3429">
                  <c:v>41052</c:v>
                </c:pt>
                <c:pt idx="3430">
                  <c:v>41053</c:v>
                </c:pt>
                <c:pt idx="3431">
                  <c:v>41054</c:v>
                </c:pt>
                <c:pt idx="3432">
                  <c:v>41057</c:v>
                </c:pt>
                <c:pt idx="3433">
                  <c:v>41058</c:v>
                </c:pt>
                <c:pt idx="3434">
                  <c:v>41059</c:v>
                </c:pt>
                <c:pt idx="3435">
                  <c:v>41060</c:v>
                </c:pt>
                <c:pt idx="3436">
                  <c:v>41061</c:v>
                </c:pt>
                <c:pt idx="3437">
                  <c:v>41064</c:v>
                </c:pt>
                <c:pt idx="3438">
                  <c:v>41065</c:v>
                </c:pt>
                <c:pt idx="3439">
                  <c:v>41066</c:v>
                </c:pt>
                <c:pt idx="3440">
                  <c:v>41067</c:v>
                </c:pt>
                <c:pt idx="3441">
                  <c:v>41068</c:v>
                </c:pt>
                <c:pt idx="3442">
                  <c:v>41071</c:v>
                </c:pt>
                <c:pt idx="3443">
                  <c:v>41072</c:v>
                </c:pt>
                <c:pt idx="3444">
                  <c:v>41073</c:v>
                </c:pt>
                <c:pt idx="3445">
                  <c:v>41074</c:v>
                </c:pt>
                <c:pt idx="3446">
                  <c:v>41075</c:v>
                </c:pt>
                <c:pt idx="3447">
                  <c:v>41078</c:v>
                </c:pt>
                <c:pt idx="3448">
                  <c:v>41079</c:v>
                </c:pt>
                <c:pt idx="3449">
                  <c:v>41080</c:v>
                </c:pt>
                <c:pt idx="3450">
                  <c:v>41081</c:v>
                </c:pt>
                <c:pt idx="3451">
                  <c:v>41082</c:v>
                </c:pt>
                <c:pt idx="3452">
                  <c:v>41085</c:v>
                </c:pt>
                <c:pt idx="3453">
                  <c:v>41086</c:v>
                </c:pt>
                <c:pt idx="3454">
                  <c:v>41087</c:v>
                </c:pt>
                <c:pt idx="3455">
                  <c:v>41088</c:v>
                </c:pt>
                <c:pt idx="3456">
                  <c:v>41089</c:v>
                </c:pt>
                <c:pt idx="3457">
                  <c:v>41092</c:v>
                </c:pt>
                <c:pt idx="3458">
                  <c:v>41093</c:v>
                </c:pt>
                <c:pt idx="3459">
                  <c:v>41094</c:v>
                </c:pt>
                <c:pt idx="3460">
                  <c:v>41095</c:v>
                </c:pt>
                <c:pt idx="3461">
                  <c:v>41096</c:v>
                </c:pt>
                <c:pt idx="3462">
                  <c:v>41099</c:v>
                </c:pt>
                <c:pt idx="3463">
                  <c:v>41100</c:v>
                </c:pt>
                <c:pt idx="3464">
                  <c:v>41101</c:v>
                </c:pt>
                <c:pt idx="3465">
                  <c:v>41102</c:v>
                </c:pt>
                <c:pt idx="3466">
                  <c:v>41103</c:v>
                </c:pt>
                <c:pt idx="3467">
                  <c:v>41106</c:v>
                </c:pt>
                <c:pt idx="3468">
                  <c:v>41107</c:v>
                </c:pt>
                <c:pt idx="3469">
                  <c:v>41108</c:v>
                </c:pt>
                <c:pt idx="3470">
                  <c:v>41109</c:v>
                </c:pt>
                <c:pt idx="3471">
                  <c:v>41110</c:v>
                </c:pt>
                <c:pt idx="3472">
                  <c:v>41113</c:v>
                </c:pt>
                <c:pt idx="3473">
                  <c:v>41114</c:v>
                </c:pt>
                <c:pt idx="3474">
                  <c:v>41115</c:v>
                </c:pt>
                <c:pt idx="3475">
                  <c:v>41116</c:v>
                </c:pt>
                <c:pt idx="3476">
                  <c:v>41117</c:v>
                </c:pt>
                <c:pt idx="3477">
                  <c:v>41120</c:v>
                </c:pt>
                <c:pt idx="3478">
                  <c:v>41121</c:v>
                </c:pt>
                <c:pt idx="3479">
                  <c:v>41122</c:v>
                </c:pt>
                <c:pt idx="3480">
                  <c:v>41123</c:v>
                </c:pt>
                <c:pt idx="3481">
                  <c:v>41124</c:v>
                </c:pt>
                <c:pt idx="3482">
                  <c:v>41127</c:v>
                </c:pt>
                <c:pt idx="3483">
                  <c:v>41128</c:v>
                </c:pt>
                <c:pt idx="3484">
                  <c:v>41129</c:v>
                </c:pt>
                <c:pt idx="3485">
                  <c:v>41130</c:v>
                </c:pt>
                <c:pt idx="3486">
                  <c:v>41131</c:v>
                </c:pt>
                <c:pt idx="3487">
                  <c:v>41134</c:v>
                </c:pt>
                <c:pt idx="3488">
                  <c:v>41135</c:v>
                </c:pt>
                <c:pt idx="3489">
                  <c:v>41136</c:v>
                </c:pt>
                <c:pt idx="3490">
                  <c:v>41137</c:v>
                </c:pt>
                <c:pt idx="3491">
                  <c:v>41138</c:v>
                </c:pt>
                <c:pt idx="3492">
                  <c:v>41141</c:v>
                </c:pt>
                <c:pt idx="3493">
                  <c:v>41142</c:v>
                </c:pt>
                <c:pt idx="3494">
                  <c:v>41143</c:v>
                </c:pt>
                <c:pt idx="3495">
                  <c:v>41144</c:v>
                </c:pt>
                <c:pt idx="3496">
                  <c:v>41145</c:v>
                </c:pt>
                <c:pt idx="3497">
                  <c:v>41148</c:v>
                </c:pt>
                <c:pt idx="3498">
                  <c:v>41149</c:v>
                </c:pt>
                <c:pt idx="3499">
                  <c:v>41150</c:v>
                </c:pt>
                <c:pt idx="3500">
                  <c:v>41151</c:v>
                </c:pt>
                <c:pt idx="3501">
                  <c:v>41152</c:v>
                </c:pt>
                <c:pt idx="3502">
                  <c:v>41155</c:v>
                </c:pt>
                <c:pt idx="3503">
                  <c:v>41156</c:v>
                </c:pt>
                <c:pt idx="3504">
                  <c:v>41157</c:v>
                </c:pt>
                <c:pt idx="3505">
                  <c:v>41158</c:v>
                </c:pt>
                <c:pt idx="3506">
                  <c:v>41159</c:v>
                </c:pt>
                <c:pt idx="3507">
                  <c:v>41162</c:v>
                </c:pt>
                <c:pt idx="3508">
                  <c:v>41163</c:v>
                </c:pt>
                <c:pt idx="3509">
                  <c:v>41164</c:v>
                </c:pt>
                <c:pt idx="3510">
                  <c:v>41165</c:v>
                </c:pt>
                <c:pt idx="3511">
                  <c:v>41166</c:v>
                </c:pt>
                <c:pt idx="3512">
                  <c:v>41169</c:v>
                </c:pt>
                <c:pt idx="3513">
                  <c:v>41170</c:v>
                </c:pt>
                <c:pt idx="3514">
                  <c:v>41171</c:v>
                </c:pt>
                <c:pt idx="3515">
                  <c:v>41172</c:v>
                </c:pt>
                <c:pt idx="3516">
                  <c:v>41173</c:v>
                </c:pt>
                <c:pt idx="3517">
                  <c:v>41176</c:v>
                </c:pt>
                <c:pt idx="3518">
                  <c:v>41177</c:v>
                </c:pt>
                <c:pt idx="3519">
                  <c:v>41178</c:v>
                </c:pt>
                <c:pt idx="3520">
                  <c:v>41179</c:v>
                </c:pt>
                <c:pt idx="3521">
                  <c:v>41180</c:v>
                </c:pt>
                <c:pt idx="3522">
                  <c:v>41183</c:v>
                </c:pt>
                <c:pt idx="3523">
                  <c:v>41184</c:v>
                </c:pt>
                <c:pt idx="3524">
                  <c:v>41185</c:v>
                </c:pt>
                <c:pt idx="3525">
                  <c:v>41186</c:v>
                </c:pt>
                <c:pt idx="3526">
                  <c:v>41187</c:v>
                </c:pt>
                <c:pt idx="3527">
                  <c:v>41190</c:v>
                </c:pt>
                <c:pt idx="3528">
                  <c:v>41191</c:v>
                </c:pt>
                <c:pt idx="3529">
                  <c:v>41192</c:v>
                </c:pt>
                <c:pt idx="3530">
                  <c:v>41193</c:v>
                </c:pt>
                <c:pt idx="3531">
                  <c:v>41194</c:v>
                </c:pt>
                <c:pt idx="3532">
                  <c:v>41197</c:v>
                </c:pt>
                <c:pt idx="3533">
                  <c:v>41198</c:v>
                </c:pt>
                <c:pt idx="3534">
                  <c:v>41199</c:v>
                </c:pt>
                <c:pt idx="3535">
                  <c:v>41200</c:v>
                </c:pt>
                <c:pt idx="3536">
                  <c:v>41201</c:v>
                </c:pt>
                <c:pt idx="3537">
                  <c:v>41204</c:v>
                </c:pt>
                <c:pt idx="3538">
                  <c:v>41205</c:v>
                </c:pt>
                <c:pt idx="3539">
                  <c:v>41206</c:v>
                </c:pt>
                <c:pt idx="3540">
                  <c:v>41207</c:v>
                </c:pt>
                <c:pt idx="3541">
                  <c:v>41208</c:v>
                </c:pt>
                <c:pt idx="3542">
                  <c:v>41211</c:v>
                </c:pt>
                <c:pt idx="3543">
                  <c:v>41212</c:v>
                </c:pt>
                <c:pt idx="3544">
                  <c:v>41213</c:v>
                </c:pt>
                <c:pt idx="3545">
                  <c:v>41214</c:v>
                </c:pt>
                <c:pt idx="3546">
                  <c:v>41215</c:v>
                </c:pt>
                <c:pt idx="3547">
                  <c:v>41218</c:v>
                </c:pt>
                <c:pt idx="3548">
                  <c:v>41219</c:v>
                </c:pt>
                <c:pt idx="3549">
                  <c:v>41220</c:v>
                </c:pt>
                <c:pt idx="3550">
                  <c:v>41221</c:v>
                </c:pt>
                <c:pt idx="3551">
                  <c:v>41222</c:v>
                </c:pt>
                <c:pt idx="3552">
                  <c:v>41225</c:v>
                </c:pt>
                <c:pt idx="3553">
                  <c:v>41226</c:v>
                </c:pt>
                <c:pt idx="3554">
                  <c:v>41227</c:v>
                </c:pt>
                <c:pt idx="3555">
                  <c:v>41228</c:v>
                </c:pt>
                <c:pt idx="3556">
                  <c:v>41229</c:v>
                </c:pt>
                <c:pt idx="3557">
                  <c:v>41232</c:v>
                </c:pt>
                <c:pt idx="3558">
                  <c:v>41233</c:v>
                </c:pt>
                <c:pt idx="3559">
                  <c:v>41234</c:v>
                </c:pt>
                <c:pt idx="3560">
                  <c:v>41235</c:v>
                </c:pt>
                <c:pt idx="3561">
                  <c:v>41236</c:v>
                </c:pt>
                <c:pt idx="3562">
                  <c:v>41239</c:v>
                </c:pt>
                <c:pt idx="3563">
                  <c:v>41240</c:v>
                </c:pt>
                <c:pt idx="3564">
                  <c:v>41241</c:v>
                </c:pt>
                <c:pt idx="3565">
                  <c:v>41242</c:v>
                </c:pt>
                <c:pt idx="3566">
                  <c:v>41243</c:v>
                </c:pt>
                <c:pt idx="3567">
                  <c:v>41246</c:v>
                </c:pt>
                <c:pt idx="3568">
                  <c:v>41247</c:v>
                </c:pt>
                <c:pt idx="3569">
                  <c:v>41248</c:v>
                </c:pt>
                <c:pt idx="3570">
                  <c:v>41249</c:v>
                </c:pt>
                <c:pt idx="3571">
                  <c:v>41250</c:v>
                </c:pt>
                <c:pt idx="3572">
                  <c:v>41253</c:v>
                </c:pt>
                <c:pt idx="3573">
                  <c:v>41254</c:v>
                </c:pt>
                <c:pt idx="3574">
                  <c:v>41255</c:v>
                </c:pt>
                <c:pt idx="3575">
                  <c:v>41256</c:v>
                </c:pt>
                <c:pt idx="3576">
                  <c:v>41257</c:v>
                </c:pt>
                <c:pt idx="3577">
                  <c:v>41260</c:v>
                </c:pt>
                <c:pt idx="3578">
                  <c:v>41261</c:v>
                </c:pt>
                <c:pt idx="3579">
                  <c:v>41262</c:v>
                </c:pt>
                <c:pt idx="3580">
                  <c:v>41263</c:v>
                </c:pt>
                <c:pt idx="3581">
                  <c:v>41264</c:v>
                </c:pt>
                <c:pt idx="3582">
                  <c:v>41267</c:v>
                </c:pt>
                <c:pt idx="3583">
                  <c:v>41270</c:v>
                </c:pt>
                <c:pt idx="3584">
                  <c:v>41271</c:v>
                </c:pt>
                <c:pt idx="3585">
                  <c:v>41274</c:v>
                </c:pt>
                <c:pt idx="3586">
                  <c:v>41276</c:v>
                </c:pt>
                <c:pt idx="3587">
                  <c:v>41277</c:v>
                </c:pt>
                <c:pt idx="3588">
                  <c:v>41278</c:v>
                </c:pt>
                <c:pt idx="3589">
                  <c:v>41281</c:v>
                </c:pt>
                <c:pt idx="3590">
                  <c:v>41282</c:v>
                </c:pt>
                <c:pt idx="3591">
                  <c:v>41283</c:v>
                </c:pt>
                <c:pt idx="3592">
                  <c:v>41284</c:v>
                </c:pt>
                <c:pt idx="3593">
                  <c:v>41285</c:v>
                </c:pt>
                <c:pt idx="3594">
                  <c:v>41288</c:v>
                </c:pt>
                <c:pt idx="3595">
                  <c:v>41289</c:v>
                </c:pt>
                <c:pt idx="3596">
                  <c:v>41290</c:v>
                </c:pt>
                <c:pt idx="3597">
                  <c:v>41291</c:v>
                </c:pt>
                <c:pt idx="3598">
                  <c:v>41292</c:v>
                </c:pt>
                <c:pt idx="3599">
                  <c:v>41295</c:v>
                </c:pt>
                <c:pt idx="3600">
                  <c:v>41296</c:v>
                </c:pt>
                <c:pt idx="3601">
                  <c:v>41297</c:v>
                </c:pt>
                <c:pt idx="3602">
                  <c:v>41298</c:v>
                </c:pt>
                <c:pt idx="3603">
                  <c:v>41299</c:v>
                </c:pt>
                <c:pt idx="3604">
                  <c:v>41302</c:v>
                </c:pt>
                <c:pt idx="3605">
                  <c:v>41303</c:v>
                </c:pt>
                <c:pt idx="3606">
                  <c:v>41304</c:v>
                </c:pt>
                <c:pt idx="3607">
                  <c:v>41305</c:v>
                </c:pt>
                <c:pt idx="3608">
                  <c:v>41306</c:v>
                </c:pt>
                <c:pt idx="3609">
                  <c:v>41309</c:v>
                </c:pt>
                <c:pt idx="3610">
                  <c:v>41310</c:v>
                </c:pt>
                <c:pt idx="3611">
                  <c:v>41311</c:v>
                </c:pt>
                <c:pt idx="3612">
                  <c:v>41312</c:v>
                </c:pt>
                <c:pt idx="3613">
                  <c:v>41313</c:v>
                </c:pt>
                <c:pt idx="3614">
                  <c:v>41316</c:v>
                </c:pt>
                <c:pt idx="3615">
                  <c:v>41317</c:v>
                </c:pt>
                <c:pt idx="3616">
                  <c:v>41318</c:v>
                </c:pt>
                <c:pt idx="3617">
                  <c:v>41319</c:v>
                </c:pt>
                <c:pt idx="3618">
                  <c:v>41320</c:v>
                </c:pt>
                <c:pt idx="3619">
                  <c:v>41323</c:v>
                </c:pt>
                <c:pt idx="3620">
                  <c:v>41324</c:v>
                </c:pt>
                <c:pt idx="3621">
                  <c:v>41325</c:v>
                </c:pt>
                <c:pt idx="3622">
                  <c:v>41326</c:v>
                </c:pt>
                <c:pt idx="3623">
                  <c:v>41327</c:v>
                </c:pt>
                <c:pt idx="3624">
                  <c:v>41330</c:v>
                </c:pt>
                <c:pt idx="3625">
                  <c:v>41331</c:v>
                </c:pt>
                <c:pt idx="3626">
                  <c:v>41332</c:v>
                </c:pt>
                <c:pt idx="3627">
                  <c:v>41333</c:v>
                </c:pt>
                <c:pt idx="3628">
                  <c:v>41334</c:v>
                </c:pt>
                <c:pt idx="3629">
                  <c:v>41337</c:v>
                </c:pt>
                <c:pt idx="3630">
                  <c:v>41338</c:v>
                </c:pt>
                <c:pt idx="3631">
                  <c:v>41339</c:v>
                </c:pt>
                <c:pt idx="3632">
                  <c:v>41340</c:v>
                </c:pt>
                <c:pt idx="3633">
                  <c:v>41341</c:v>
                </c:pt>
                <c:pt idx="3634">
                  <c:v>41344</c:v>
                </c:pt>
                <c:pt idx="3635">
                  <c:v>41345</c:v>
                </c:pt>
                <c:pt idx="3636">
                  <c:v>41346</c:v>
                </c:pt>
                <c:pt idx="3637">
                  <c:v>41347</c:v>
                </c:pt>
                <c:pt idx="3638">
                  <c:v>41348</c:v>
                </c:pt>
                <c:pt idx="3639">
                  <c:v>41351</c:v>
                </c:pt>
                <c:pt idx="3640">
                  <c:v>41352</c:v>
                </c:pt>
                <c:pt idx="3641">
                  <c:v>41353</c:v>
                </c:pt>
                <c:pt idx="3642">
                  <c:v>41354</c:v>
                </c:pt>
                <c:pt idx="3643">
                  <c:v>41355</c:v>
                </c:pt>
                <c:pt idx="3644">
                  <c:v>41358</c:v>
                </c:pt>
                <c:pt idx="3645">
                  <c:v>41359</c:v>
                </c:pt>
                <c:pt idx="3646">
                  <c:v>41360</c:v>
                </c:pt>
                <c:pt idx="3647">
                  <c:v>41361</c:v>
                </c:pt>
                <c:pt idx="3648">
                  <c:v>41366</c:v>
                </c:pt>
                <c:pt idx="3649">
                  <c:v>41367</c:v>
                </c:pt>
                <c:pt idx="3650">
                  <c:v>41368</c:v>
                </c:pt>
                <c:pt idx="3651">
                  <c:v>41369</c:v>
                </c:pt>
                <c:pt idx="3652">
                  <c:v>41372</c:v>
                </c:pt>
                <c:pt idx="3653">
                  <c:v>41373</c:v>
                </c:pt>
                <c:pt idx="3654">
                  <c:v>41374</c:v>
                </c:pt>
                <c:pt idx="3655">
                  <c:v>41375</c:v>
                </c:pt>
                <c:pt idx="3656">
                  <c:v>41376</c:v>
                </c:pt>
                <c:pt idx="3657">
                  <c:v>41379</c:v>
                </c:pt>
                <c:pt idx="3658">
                  <c:v>41380</c:v>
                </c:pt>
                <c:pt idx="3659">
                  <c:v>41381</c:v>
                </c:pt>
                <c:pt idx="3660">
                  <c:v>41382</c:v>
                </c:pt>
                <c:pt idx="3661">
                  <c:v>41383</c:v>
                </c:pt>
                <c:pt idx="3662">
                  <c:v>41386</c:v>
                </c:pt>
                <c:pt idx="3663">
                  <c:v>41387</c:v>
                </c:pt>
                <c:pt idx="3664">
                  <c:v>41388</c:v>
                </c:pt>
                <c:pt idx="3665">
                  <c:v>41389</c:v>
                </c:pt>
                <c:pt idx="3666">
                  <c:v>41390</c:v>
                </c:pt>
                <c:pt idx="3667">
                  <c:v>41393</c:v>
                </c:pt>
                <c:pt idx="3668">
                  <c:v>41394</c:v>
                </c:pt>
                <c:pt idx="3669">
                  <c:v>41396</c:v>
                </c:pt>
                <c:pt idx="3670">
                  <c:v>41397</c:v>
                </c:pt>
                <c:pt idx="3671">
                  <c:v>41400</c:v>
                </c:pt>
                <c:pt idx="3672">
                  <c:v>41401</c:v>
                </c:pt>
                <c:pt idx="3673">
                  <c:v>41402</c:v>
                </c:pt>
                <c:pt idx="3674">
                  <c:v>41403</c:v>
                </c:pt>
                <c:pt idx="3675">
                  <c:v>41404</c:v>
                </c:pt>
                <c:pt idx="3676">
                  <c:v>41407</c:v>
                </c:pt>
                <c:pt idx="3677">
                  <c:v>41408</c:v>
                </c:pt>
                <c:pt idx="3678">
                  <c:v>41409</c:v>
                </c:pt>
                <c:pt idx="3679">
                  <c:v>41410</c:v>
                </c:pt>
                <c:pt idx="3680">
                  <c:v>41411</c:v>
                </c:pt>
                <c:pt idx="3681">
                  <c:v>41414</c:v>
                </c:pt>
                <c:pt idx="3682">
                  <c:v>41415</c:v>
                </c:pt>
                <c:pt idx="3683">
                  <c:v>41416</c:v>
                </c:pt>
                <c:pt idx="3684">
                  <c:v>41417</c:v>
                </c:pt>
                <c:pt idx="3685">
                  <c:v>41418</c:v>
                </c:pt>
                <c:pt idx="3686">
                  <c:v>41421</c:v>
                </c:pt>
                <c:pt idx="3687">
                  <c:v>41422</c:v>
                </c:pt>
                <c:pt idx="3688">
                  <c:v>41423</c:v>
                </c:pt>
                <c:pt idx="3689">
                  <c:v>41424</c:v>
                </c:pt>
                <c:pt idx="3690">
                  <c:v>41425</c:v>
                </c:pt>
                <c:pt idx="3691">
                  <c:v>41428</c:v>
                </c:pt>
                <c:pt idx="3692">
                  <c:v>41429</c:v>
                </c:pt>
                <c:pt idx="3693">
                  <c:v>41430</c:v>
                </c:pt>
                <c:pt idx="3694">
                  <c:v>41431</c:v>
                </c:pt>
                <c:pt idx="3695">
                  <c:v>41432</c:v>
                </c:pt>
                <c:pt idx="3696">
                  <c:v>41435</c:v>
                </c:pt>
                <c:pt idx="3697">
                  <c:v>41436</c:v>
                </c:pt>
                <c:pt idx="3698">
                  <c:v>41437</c:v>
                </c:pt>
                <c:pt idx="3699">
                  <c:v>41438</c:v>
                </c:pt>
                <c:pt idx="3700">
                  <c:v>41439</c:v>
                </c:pt>
                <c:pt idx="3701">
                  <c:v>41442</c:v>
                </c:pt>
                <c:pt idx="3702">
                  <c:v>41443</c:v>
                </c:pt>
                <c:pt idx="3703">
                  <c:v>41444</c:v>
                </c:pt>
                <c:pt idx="3704">
                  <c:v>41445</c:v>
                </c:pt>
                <c:pt idx="3705">
                  <c:v>41446</c:v>
                </c:pt>
                <c:pt idx="3706">
                  <c:v>41449</c:v>
                </c:pt>
                <c:pt idx="3707">
                  <c:v>41450</c:v>
                </c:pt>
                <c:pt idx="3708">
                  <c:v>41451</c:v>
                </c:pt>
                <c:pt idx="3709">
                  <c:v>41452</c:v>
                </c:pt>
                <c:pt idx="3710">
                  <c:v>41453</c:v>
                </c:pt>
                <c:pt idx="3711">
                  <c:v>41456</c:v>
                </c:pt>
                <c:pt idx="3712">
                  <c:v>41457</c:v>
                </c:pt>
                <c:pt idx="3713">
                  <c:v>41458</c:v>
                </c:pt>
                <c:pt idx="3714">
                  <c:v>41459</c:v>
                </c:pt>
                <c:pt idx="3715">
                  <c:v>41460</c:v>
                </c:pt>
                <c:pt idx="3716">
                  <c:v>41463</c:v>
                </c:pt>
                <c:pt idx="3717">
                  <c:v>41464</c:v>
                </c:pt>
                <c:pt idx="3718">
                  <c:v>41465</c:v>
                </c:pt>
                <c:pt idx="3719">
                  <c:v>41466</c:v>
                </c:pt>
                <c:pt idx="3720">
                  <c:v>41467</c:v>
                </c:pt>
                <c:pt idx="3721">
                  <c:v>41470</c:v>
                </c:pt>
                <c:pt idx="3722">
                  <c:v>41471</c:v>
                </c:pt>
                <c:pt idx="3723">
                  <c:v>41472</c:v>
                </c:pt>
                <c:pt idx="3724">
                  <c:v>41473</c:v>
                </c:pt>
                <c:pt idx="3725">
                  <c:v>41474</c:v>
                </c:pt>
                <c:pt idx="3726">
                  <c:v>41477</c:v>
                </c:pt>
                <c:pt idx="3727">
                  <c:v>41478</c:v>
                </c:pt>
                <c:pt idx="3728">
                  <c:v>41479</c:v>
                </c:pt>
                <c:pt idx="3729">
                  <c:v>41480</c:v>
                </c:pt>
                <c:pt idx="3730">
                  <c:v>41481</c:v>
                </c:pt>
                <c:pt idx="3731">
                  <c:v>41484</c:v>
                </c:pt>
                <c:pt idx="3732">
                  <c:v>41485</c:v>
                </c:pt>
                <c:pt idx="3733">
                  <c:v>41486</c:v>
                </c:pt>
                <c:pt idx="3734">
                  <c:v>41487</c:v>
                </c:pt>
                <c:pt idx="3735">
                  <c:v>41488</c:v>
                </c:pt>
                <c:pt idx="3736">
                  <c:v>41491</c:v>
                </c:pt>
                <c:pt idx="3737">
                  <c:v>41492</c:v>
                </c:pt>
                <c:pt idx="3738">
                  <c:v>41493</c:v>
                </c:pt>
                <c:pt idx="3739">
                  <c:v>41494</c:v>
                </c:pt>
                <c:pt idx="3740">
                  <c:v>41495</c:v>
                </c:pt>
                <c:pt idx="3741">
                  <c:v>41498</c:v>
                </c:pt>
                <c:pt idx="3742">
                  <c:v>41499</c:v>
                </c:pt>
                <c:pt idx="3743">
                  <c:v>41500</c:v>
                </c:pt>
                <c:pt idx="3744">
                  <c:v>41501</c:v>
                </c:pt>
                <c:pt idx="3745">
                  <c:v>41502</c:v>
                </c:pt>
                <c:pt idx="3746">
                  <c:v>41505</c:v>
                </c:pt>
                <c:pt idx="3747">
                  <c:v>41506</c:v>
                </c:pt>
                <c:pt idx="3748">
                  <c:v>41507</c:v>
                </c:pt>
                <c:pt idx="3749">
                  <c:v>41508</c:v>
                </c:pt>
                <c:pt idx="3750">
                  <c:v>41509</c:v>
                </c:pt>
                <c:pt idx="3751">
                  <c:v>41512</c:v>
                </c:pt>
                <c:pt idx="3752">
                  <c:v>41513</c:v>
                </c:pt>
                <c:pt idx="3753">
                  <c:v>41514</c:v>
                </c:pt>
                <c:pt idx="3754">
                  <c:v>41515</c:v>
                </c:pt>
                <c:pt idx="3755">
                  <c:v>41516</c:v>
                </c:pt>
                <c:pt idx="3756">
                  <c:v>41519</c:v>
                </c:pt>
                <c:pt idx="3757">
                  <c:v>41520</c:v>
                </c:pt>
                <c:pt idx="3758">
                  <c:v>41521</c:v>
                </c:pt>
                <c:pt idx="3759">
                  <c:v>41522</c:v>
                </c:pt>
                <c:pt idx="3760">
                  <c:v>41523</c:v>
                </c:pt>
                <c:pt idx="3761">
                  <c:v>41526</c:v>
                </c:pt>
                <c:pt idx="3762">
                  <c:v>41527</c:v>
                </c:pt>
                <c:pt idx="3763">
                  <c:v>41528</c:v>
                </c:pt>
                <c:pt idx="3764">
                  <c:v>41529</c:v>
                </c:pt>
                <c:pt idx="3765">
                  <c:v>41530</c:v>
                </c:pt>
                <c:pt idx="3766">
                  <c:v>41533</c:v>
                </c:pt>
                <c:pt idx="3767">
                  <c:v>41534</c:v>
                </c:pt>
                <c:pt idx="3768">
                  <c:v>41535</c:v>
                </c:pt>
                <c:pt idx="3769">
                  <c:v>41536</c:v>
                </c:pt>
                <c:pt idx="3770">
                  <c:v>41537</c:v>
                </c:pt>
                <c:pt idx="3771">
                  <c:v>41540</c:v>
                </c:pt>
                <c:pt idx="3772">
                  <c:v>41541</c:v>
                </c:pt>
                <c:pt idx="3773">
                  <c:v>41542</c:v>
                </c:pt>
                <c:pt idx="3774">
                  <c:v>41543</c:v>
                </c:pt>
                <c:pt idx="3775">
                  <c:v>41544</c:v>
                </c:pt>
                <c:pt idx="3776">
                  <c:v>41547</c:v>
                </c:pt>
                <c:pt idx="3777">
                  <c:v>41548</c:v>
                </c:pt>
                <c:pt idx="3778">
                  <c:v>41549</c:v>
                </c:pt>
                <c:pt idx="3779">
                  <c:v>41550</c:v>
                </c:pt>
                <c:pt idx="3780">
                  <c:v>41551</c:v>
                </c:pt>
                <c:pt idx="3781">
                  <c:v>41554</c:v>
                </c:pt>
                <c:pt idx="3782">
                  <c:v>41555</c:v>
                </c:pt>
                <c:pt idx="3783">
                  <c:v>41556</c:v>
                </c:pt>
                <c:pt idx="3784">
                  <c:v>41557</c:v>
                </c:pt>
                <c:pt idx="3785">
                  <c:v>41558</c:v>
                </c:pt>
                <c:pt idx="3786">
                  <c:v>41561</c:v>
                </c:pt>
                <c:pt idx="3787">
                  <c:v>41562</c:v>
                </c:pt>
                <c:pt idx="3788">
                  <c:v>41563</c:v>
                </c:pt>
                <c:pt idx="3789">
                  <c:v>41564</c:v>
                </c:pt>
                <c:pt idx="3790">
                  <c:v>41565</c:v>
                </c:pt>
                <c:pt idx="3791">
                  <c:v>41568</c:v>
                </c:pt>
                <c:pt idx="3792">
                  <c:v>41569</c:v>
                </c:pt>
                <c:pt idx="3793">
                  <c:v>41570</c:v>
                </c:pt>
                <c:pt idx="3794">
                  <c:v>41571</c:v>
                </c:pt>
                <c:pt idx="3795">
                  <c:v>41572</c:v>
                </c:pt>
                <c:pt idx="3796">
                  <c:v>41575</c:v>
                </c:pt>
                <c:pt idx="3797">
                  <c:v>41576</c:v>
                </c:pt>
                <c:pt idx="3798">
                  <c:v>41577</c:v>
                </c:pt>
                <c:pt idx="3799">
                  <c:v>41578</c:v>
                </c:pt>
                <c:pt idx="3800">
                  <c:v>41579</c:v>
                </c:pt>
                <c:pt idx="3801">
                  <c:v>41582</c:v>
                </c:pt>
                <c:pt idx="3802">
                  <c:v>41583</c:v>
                </c:pt>
                <c:pt idx="3803">
                  <c:v>41584</c:v>
                </c:pt>
                <c:pt idx="3804">
                  <c:v>41585</c:v>
                </c:pt>
                <c:pt idx="3805">
                  <c:v>41586</c:v>
                </c:pt>
                <c:pt idx="3806">
                  <c:v>41589</c:v>
                </c:pt>
                <c:pt idx="3807">
                  <c:v>41590</c:v>
                </c:pt>
                <c:pt idx="3808">
                  <c:v>41591</c:v>
                </c:pt>
                <c:pt idx="3809">
                  <c:v>41592</c:v>
                </c:pt>
                <c:pt idx="3810">
                  <c:v>41593</c:v>
                </c:pt>
                <c:pt idx="3811">
                  <c:v>41596</c:v>
                </c:pt>
                <c:pt idx="3812">
                  <c:v>41597</c:v>
                </c:pt>
                <c:pt idx="3813">
                  <c:v>41598</c:v>
                </c:pt>
                <c:pt idx="3814">
                  <c:v>41599</c:v>
                </c:pt>
                <c:pt idx="3815">
                  <c:v>41600</c:v>
                </c:pt>
                <c:pt idx="3816">
                  <c:v>41603</c:v>
                </c:pt>
                <c:pt idx="3817">
                  <c:v>41604</c:v>
                </c:pt>
                <c:pt idx="3818">
                  <c:v>41605</c:v>
                </c:pt>
                <c:pt idx="3819">
                  <c:v>41606</c:v>
                </c:pt>
                <c:pt idx="3820">
                  <c:v>41607</c:v>
                </c:pt>
                <c:pt idx="3821">
                  <c:v>41610</c:v>
                </c:pt>
                <c:pt idx="3822">
                  <c:v>41611</c:v>
                </c:pt>
                <c:pt idx="3823">
                  <c:v>41612</c:v>
                </c:pt>
                <c:pt idx="3824">
                  <c:v>41613</c:v>
                </c:pt>
                <c:pt idx="3825">
                  <c:v>41614</c:v>
                </c:pt>
                <c:pt idx="3826">
                  <c:v>41617</c:v>
                </c:pt>
                <c:pt idx="3827">
                  <c:v>41618</c:v>
                </c:pt>
                <c:pt idx="3828">
                  <c:v>41619</c:v>
                </c:pt>
                <c:pt idx="3829">
                  <c:v>41620</c:v>
                </c:pt>
                <c:pt idx="3830">
                  <c:v>41621</c:v>
                </c:pt>
                <c:pt idx="3831">
                  <c:v>41624</c:v>
                </c:pt>
                <c:pt idx="3832">
                  <c:v>41625</c:v>
                </c:pt>
                <c:pt idx="3833">
                  <c:v>41626</c:v>
                </c:pt>
                <c:pt idx="3834">
                  <c:v>41627</c:v>
                </c:pt>
                <c:pt idx="3835">
                  <c:v>41628</c:v>
                </c:pt>
                <c:pt idx="3836">
                  <c:v>41631</c:v>
                </c:pt>
                <c:pt idx="3837">
                  <c:v>41632</c:v>
                </c:pt>
                <c:pt idx="3838">
                  <c:v>41635</c:v>
                </c:pt>
                <c:pt idx="3839">
                  <c:v>41638</c:v>
                </c:pt>
                <c:pt idx="3840">
                  <c:v>41639</c:v>
                </c:pt>
                <c:pt idx="3841">
                  <c:v>41641</c:v>
                </c:pt>
                <c:pt idx="3842">
                  <c:v>41642</c:v>
                </c:pt>
                <c:pt idx="3843">
                  <c:v>41645</c:v>
                </c:pt>
                <c:pt idx="3844">
                  <c:v>41646</c:v>
                </c:pt>
                <c:pt idx="3845">
                  <c:v>41647</c:v>
                </c:pt>
                <c:pt idx="3846">
                  <c:v>41648</c:v>
                </c:pt>
                <c:pt idx="3847">
                  <c:v>41649</c:v>
                </c:pt>
                <c:pt idx="3848">
                  <c:v>41652</c:v>
                </c:pt>
                <c:pt idx="3849">
                  <c:v>41653</c:v>
                </c:pt>
                <c:pt idx="3850">
                  <c:v>41654</c:v>
                </c:pt>
                <c:pt idx="3851">
                  <c:v>41655</c:v>
                </c:pt>
                <c:pt idx="3852">
                  <c:v>41656</c:v>
                </c:pt>
                <c:pt idx="3853">
                  <c:v>41659</c:v>
                </c:pt>
                <c:pt idx="3854">
                  <c:v>41660</c:v>
                </c:pt>
                <c:pt idx="3855">
                  <c:v>41661</c:v>
                </c:pt>
                <c:pt idx="3856">
                  <c:v>41662</c:v>
                </c:pt>
                <c:pt idx="3857">
                  <c:v>41663</c:v>
                </c:pt>
                <c:pt idx="3858">
                  <c:v>41666</c:v>
                </c:pt>
                <c:pt idx="3859">
                  <c:v>41667</c:v>
                </c:pt>
                <c:pt idx="3860">
                  <c:v>41668</c:v>
                </c:pt>
                <c:pt idx="3861">
                  <c:v>41669</c:v>
                </c:pt>
                <c:pt idx="3862">
                  <c:v>41670</c:v>
                </c:pt>
                <c:pt idx="3863">
                  <c:v>41673</c:v>
                </c:pt>
                <c:pt idx="3864">
                  <c:v>41674</c:v>
                </c:pt>
                <c:pt idx="3865">
                  <c:v>41675</c:v>
                </c:pt>
                <c:pt idx="3866">
                  <c:v>41676</c:v>
                </c:pt>
                <c:pt idx="3867">
                  <c:v>41677</c:v>
                </c:pt>
                <c:pt idx="3868">
                  <c:v>41680</c:v>
                </c:pt>
                <c:pt idx="3869">
                  <c:v>41681</c:v>
                </c:pt>
                <c:pt idx="3870">
                  <c:v>41682</c:v>
                </c:pt>
                <c:pt idx="3871">
                  <c:v>41683</c:v>
                </c:pt>
                <c:pt idx="3872">
                  <c:v>41684</c:v>
                </c:pt>
                <c:pt idx="3873">
                  <c:v>41687</c:v>
                </c:pt>
                <c:pt idx="3874">
                  <c:v>41688</c:v>
                </c:pt>
                <c:pt idx="3875">
                  <c:v>41689</c:v>
                </c:pt>
                <c:pt idx="3876">
                  <c:v>41690</c:v>
                </c:pt>
                <c:pt idx="3877">
                  <c:v>41691</c:v>
                </c:pt>
                <c:pt idx="3878">
                  <c:v>41694</c:v>
                </c:pt>
                <c:pt idx="3879">
                  <c:v>41695</c:v>
                </c:pt>
                <c:pt idx="3880">
                  <c:v>41696</c:v>
                </c:pt>
                <c:pt idx="3881">
                  <c:v>41697</c:v>
                </c:pt>
                <c:pt idx="3882">
                  <c:v>41698</c:v>
                </c:pt>
                <c:pt idx="3883">
                  <c:v>41701</c:v>
                </c:pt>
                <c:pt idx="3884">
                  <c:v>41702</c:v>
                </c:pt>
                <c:pt idx="3885">
                  <c:v>41703</c:v>
                </c:pt>
                <c:pt idx="3886">
                  <c:v>41704</c:v>
                </c:pt>
                <c:pt idx="3887">
                  <c:v>41705</c:v>
                </c:pt>
                <c:pt idx="3888">
                  <c:v>41708</c:v>
                </c:pt>
                <c:pt idx="3889">
                  <c:v>41709</c:v>
                </c:pt>
                <c:pt idx="3890">
                  <c:v>41710</c:v>
                </c:pt>
                <c:pt idx="3891">
                  <c:v>41711</c:v>
                </c:pt>
                <c:pt idx="3892">
                  <c:v>41712</c:v>
                </c:pt>
                <c:pt idx="3893">
                  <c:v>41715</c:v>
                </c:pt>
                <c:pt idx="3894">
                  <c:v>41716</c:v>
                </c:pt>
                <c:pt idx="3895">
                  <c:v>41717</c:v>
                </c:pt>
                <c:pt idx="3896">
                  <c:v>41718</c:v>
                </c:pt>
                <c:pt idx="3897">
                  <c:v>41719</c:v>
                </c:pt>
                <c:pt idx="3898">
                  <c:v>41722</c:v>
                </c:pt>
                <c:pt idx="3899">
                  <c:v>41723</c:v>
                </c:pt>
                <c:pt idx="3900">
                  <c:v>41724</c:v>
                </c:pt>
                <c:pt idx="3901">
                  <c:v>41725</c:v>
                </c:pt>
                <c:pt idx="3902">
                  <c:v>41726</c:v>
                </c:pt>
                <c:pt idx="3903">
                  <c:v>41729</c:v>
                </c:pt>
                <c:pt idx="3904">
                  <c:v>41730</c:v>
                </c:pt>
                <c:pt idx="3905">
                  <c:v>41731</c:v>
                </c:pt>
                <c:pt idx="3906">
                  <c:v>41732</c:v>
                </c:pt>
                <c:pt idx="3907">
                  <c:v>41733</c:v>
                </c:pt>
                <c:pt idx="3908">
                  <c:v>41736</c:v>
                </c:pt>
                <c:pt idx="3909">
                  <c:v>41737</c:v>
                </c:pt>
                <c:pt idx="3910">
                  <c:v>41738</c:v>
                </c:pt>
                <c:pt idx="3911">
                  <c:v>41739</c:v>
                </c:pt>
                <c:pt idx="3912">
                  <c:v>41740</c:v>
                </c:pt>
                <c:pt idx="3913">
                  <c:v>41743</c:v>
                </c:pt>
                <c:pt idx="3914">
                  <c:v>41744</c:v>
                </c:pt>
                <c:pt idx="3915">
                  <c:v>41745</c:v>
                </c:pt>
                <c:pt idx="3916">
                  <c:v>41746</c:v>
                </c:pt>
                <c:pt idx="3917">
                  <c:v>41751</c:v>
                </c:pt>
                <c:pt idx="3918">
                  <c:v>41752</c:v>
                </c:pt>
                <c:pt idx="3919">
                  <c:v>41753</c:v>
                </c:pt>
                <c:pt idx="3920">
                  <c:v>41754</c:v>
                </c:pt>
                <c:pt idx="3921">
                  <c:v>41757</c:v>
                </c:pt>
                <c:pt idx="3922">
                  <c:v>41758</c:v>
                </c:pt>
                <c:pt idx="3923">
                  <c:v>41759</c:v>
                </c:pt>
                <c:pt idx="3924">
                  <c:v>41761</c:v>
                </c:pt>
                <c:pt idx="3925">
                  <c:v>41764</c:v>
                </c:pt>
                <c:pt idx="3926">
                  <c:v>41765</c:v>
                </c:pt>
                <c:pt idx="3927">
                  <c:v>41766</c:v>
                </c:pt>
                <c:pt idx="3928">
                  <c:v>41767</c:v>
                </c:pt>
                <c:pt idx="3929">
                  <c:v>41768</c:v>
                </c:pt>
                <c:pt idx="3930">
                  <c:v>41771</c:v>
                </c:pt>
                <c:pt idx="3931">
                  <c:v>41772</c:v>
                </c:pt>
                <c:pt idx="3932">
                  <c:v>41773</c:v>
                </c:pt>
                <c:pt idx="3933">
                  <c:v>41774</c:v>
                </c:pt>
                <c:pt idx="3934">
                  <c:v>41775</c:v>
                </c:pt>
                <c:pt idx="3935">
                  <c:v>41778</c:v>
                </c:pt>
                <c:pt idx="3936">
                  <c:v>41779</c:v>
                </c:pt>
                <c:pt idx="3937">
                  <c:v>41780</c:v>
                </c:pt>
                <c:pt idx="3938">
                  <c:v>41781</c:v>
                </c:pt>
                <c:pt idx="3939">
                  <c:v>41782</c:v>
                </c:pt>
                <c:pt idx="3940">
                  <c:v>41785</c:v>
                </c:pt>
                <c:pt idx="3941">
                  <c:v>41786</c:v>
                </c:pt>
                <c:pt idx="3942">
                  <c:v>41787</c:v>
                </c:pt>
                <c:pt idx="3943">
                  <c:v>41788</c:v>
                </c:pt>
                <c:pt idx="3944">
                  <c:v>41789</c:v>
                </c:pt>
                <c:pt idx="3945">
                  <c:v>41792</c:v>
                </c:pt>
                <c:pt idx="3946">
                  <c:v>41793</c:v>
                </c:pt>
                <c:pt idx="3947">
                  <c:v>41794</c:v>
                </c:pt>
                <c:pt idx="3948">
                  <c:v>41795</c:v>
                </c:pt>
                <c:pt idx="3949">
                  <c:v>41796</c:v>
                </c:pt>
                <c:pt idx="3950">
                  <c:v>41799</c:v>
                </c:pt>
                <c:pt idx="3951">
                  <c:v>41800</c:v>
                </c:pt>
                <c:pt idx="3952">
                  <c:v>41801</c:v>
                </c:pt>
                <c:pt idx="3953">
                  <c:v>41802</c:v>
                </c:pt>
                <c:pt idx="3954">
                  <c:v>41803</c:v>
                </c:pt>
                <c:pt idx="3955">
                  <c:v>41806</c:v>
                </c:pt>
                <c:pt idx="3956">
                  <c:v>41807</c:v>
                </c:pt>
                <c:pt idx="3957">
                  <c:v>41808</c:v>
                </c:pt>
                <c:pt idx="3958">
                  <c:v>41809</c:v>
                </c:pt>
                <c:pt idx="3959">
                  <c:v>41810</c:v>
                </c:pt>
                <c:pt idx="3960">
                  <c:v>41813</c:v>
                </c:pt>
                <c:pt idx="3961">
                  <c:v>41814</c:v>
                </c:pt>
                <c:pt idx="3962">
                  <c:v>41815</c:v>
                </c:pt>
                <c:pt idx="3963">
                  <c:v>41816</c:v>
                </c:pt>
                <c:pt idx="3964">
                  <c:v>41817</c:v>
                </c:pt>
                <c:pt idx="3965">
                  <c:v>41820</c:v>
                </c:pt>
                <c:pt idx="3966">
                  <c:v>41821</c:v>
                </c:pt>
                <c:pt idx="3967">
                  <c:v>41822</c:v>
                </c:pt>
                <c:pt idx="3968">
                  <c:v>41823</c:v>
                </c:pt>
                <c:pt idx="3969">
                  <c:v>41824</c:v>
                </c:pt>
                <c:pt idx="3970">
                  <c:v>41827</c:v>
                </c:pt>
                <c:pt idx="3971">
                  <c:v>41828</c:v>
                </c:pt>
                <c:pt idx="3972">
                  <c:v>41829</c:v>
                </c:pt>
                <c:pt idx="3973">
                  <c:v>41830</c:v>
                </c:pt>
                <c:pt idx="3974">
                  <c:v>41831</c:v>
                </c:pt>
                <c:pt idx="3975">
                  <c:v>41834</c:v>
                </c:pt>
                <c:pt idx="3976">
                  <c:v>41835</c:v>
                </c:pt>
                <c:pt idx="3977">
                  <c:v>41836</c:v>
                </c:pt>
                <c:pt idx="3978">
                  <c:v>41837</c:v>
                </c:pt>
                <c:pt idx="3979">
                  <c:v>41838</c:v>
                </c:pt>
                <c:pt idx="3980">
                  <c:v>41841</c:v>
                </c:pt>
                <c:pt idx="3981">
                  <c:v>41842</c:v>
                </c:pt>
                <c:pt idx="3982">
                  <c:v>41843</c:v>
                </c:pt>
                <c:pt idx="3983">
                  <c:v>41844</c:v>
                </c:pt>
                <c:pt idx="3984">
                  <c:v>41845</c:v>
                </c:pt>
                <c:pt idx="3985">
                  <c:v>41848</c:v>
                </c:pt>
                <c:pt idx="3986">
                  <c:v>41849</c:v>
                </c:pt>
                <c:pt idx="3987">
                  <c:v>41850</c:v>
                </c:pt>
                <c:pt idx="3988">
                  <c:v>41851</c:v>
                </c:pt>
                <c:pt idx="3989">
                  <c:v>41852</c:v>
                </c:pt>
                <c:pt idx="3990">
                  <c:v>41855</c:v>
                </c:pt>
                <c:pt idx="3991">
                  <c:v>41856</c:v>
                </c:pt>
                <c:pt idx="3992">
                  <c:v>41857</c:v>
                </c:pt>
                <c:pt idx="3993">
                  <c:v>41858</c:v>
                </c:pt>
                <c:pt idx="3994">
                  <c:v>41859</c:v>
                </c:pt>
                <c:pt idx="3995">
                  <c:v>41862</c:v>
                </c:pt>
                <c:pt idx="3996">
                  <c:v>41863</c:v>
                </c:pt>
                <c:pt idx="3997">
                  <c:v>41864</c:v>
                </c:pt>
                <c:pt idx="3998">
                  <c:v>41865</c:v>
                </c:pt>
                <c:pt idx="3999">
                  <c:v>41866</c:v>
                </c:pt>
                <c:pt idx="4000">
                  <c:v>41869</c:v>
                </c:pt>
                <c:pt idx="4001">
                  <c:v>41870</c:v>
                </c:pt>
                <c:pt idx="4002">
                  <c:v>41871</c:v>
                </c:pt>
                <c:pt idx="4003">
                  <c:v>41872</c:v>
                </c:pt>
                <c:pt idx="4004">
                  <c:v>41873</c:v>
                </c:pt>
                <c:pt idx="4005">
                  <c:v>41876</c:v>
                </c:pt>
                <c:pt idx="4006">
                  <c:v>41877</c:v>
                </c:pt>
                <c:pt idx="4007">
                  <c:v>41878</c:v>
                </c:pt>
                <c:pt idx="4008">
                  <c:v>41879</c:v>
                </c:pt>
                <c:pt idx="4009">
                  <c:v>41880</c:v>
                </c:pt>
                <c:pt idx="4010">
                  <c:v>41883</c:v>
                </c:pt>
                <c:pt idx="4011">
                  <c:v>41884</c:v>
                </c:pt>
                <c:pt idx="4012">
                  <c:v>41885</c:v>
                </c:pt>
                <c:pt idx="4013">
                  <c:v>41886</c:v>
                </c:pt>
                <c:pt idx="4014">
                  <c:v>41887</c:v>
                </c:pt>
                <c:pt idx="4015">
                  <c:v>41890</c:v>
                </c:pt>
                <c:pt idx="4016">
                  <c:v>41891</c:v>
                </c:pt>
                <c:pt idx="4017">
                  <c:v>41892</c:v>
                </c:pt>
                <c:pt idx="4018">
                  <c:v>41893</c:v>
                </c:pt>
                <c:pt idx="4019">
                  <c:v>41894</c:v>
                </c:pt>
                <c:pt idx="4020">
                  <c:v>41897</c:v>
                </c:pt>
                <c:pt idx="4021">
                  <c:v>41898</c:v>
                </c:pt>
                <c:pt idx="4022">
                  <c:v>41899</c:v>
                </c:pt>
                <c:pt idx="4023">
                  <c:v>41900</c:v>
                </c:pt>
                <c:pt idx="4024">
                  <c:v>41901</c:v>
                </c:pt>
                <c:pt idx="4025">
                  <c:v>41904</c:v>
                </c:pt>
                <c:pt idx="4026">
                  <c:v>41905</c:v>
                </c:pt>
                <c:pt idx="4027">
                  <c:v>41906</c:v>
                </c:pt>
                <c:pt idx="4028">
                  <c:v>41907</c:v>
                </c:pt>
                <c:pt idx="4029">
                  <c:v>41908</c:v>
                </c:pt>
                <c:pt idx="4030">
                  <c:v>41911</c:v>
                </c:pt>
                <c:pt idx="4031">
                  <c:v>41912</c:v>
                </c:pt>
                <c:pt idx="4032">
                  <c:v>41913</c:v>
                </c:pt>
                <c:pt idx="4033">
                  <c:v>41914</c:v>
                </c:pt>
                <c:pt idx="4034">
                  <c:v>41915</c:v>
                </c:pt>
                <c:pt idx="4035">
                  <c:v>41918</c:v>
                </c:pt>
                <c:pt idx="4036">
                  <c:v>41919</c:v>
                </c:pt>
                <c:pt idx="4037">
                  <c:v>41920</c:v>
                </c:pt>
                <c:pt idx="4038">
                  <c:v>41921</c:v>
                </c:pt>
                <c:pt idx="4039">
                  <c:v>41922</c:v>
                </c:pt>
                <c:pt idx="4040">
                  <c:v>41925</c:v>
                </c:pt>
                <c:pt idx="4041">
                  <c:v>41926</c:v>
                </c:pt>
                <c:pt idx="4042">
                  <c:v>41927</c:v>
                </c:pt>
                <c:pt idx="4043">
                  <c:v>41928</c:v>
                </c:pt>
                <c:pt idx="4044">
                  <c:v>41929</c:v>
                </c:pt>
                <c:pt idx="4045">
                  <c:v>41932</c:v>
                </c:pt>
                <c:pt idx="4046">
                  <c:v>41934</c:v>
                </c:pt>
                <c:pt idx="4047">
                  <c:v>41935</c:v>
                </c:pt>
                <c:pt idx="4048">
                  <c:v>41936</c:v>
                </c:pt>
                <c:pt idx="4049">
                  <c:v>41939</c:v>
                </c:pt>
                <c:pt idx="4050">
                  <c:v>41940</c:v>
                </c:pt>
                <c:pt idx="4051">
                  <c:v>41941</c:v>
                </c:pt>
                <c:pt idx="4052">
                  <c:v>41942</c:v>
                </c:pt>
                <c:pt idx="4053">
                  <c:v>41943</c:v>
                </c:pt>
                <c:pt idx="4054">
                  <c:v>41946</c:v>
                </c:pt>
                <c:pt idx="4055">
                  <c:v>41947</c:v>
                </c:pt>
                <c:pt idx="4056">
                  <c:v>41948</c:v>
                </c:pt>
                <c:pt idx="4057">
                  <c:v>41949</c:v>
                </c:pt>
                <c:pt idx="4058">
                  <c:v>41950</c:v>
                </c:pt>
                <c:pt idx="4059">
                  <c:v>41953</c:v>
                </c:pt>
                <c:pt idx="4060">
                  <c:v>41954</c:v>
                </c:pt>
                <c:pt idx="4061">
                  <c:v>41955</c:v>
                </c:pt>
                <c:pt idx="4062">
                  <c:v>41956</c:v>
                </c:pt>
                <c:pt idx="4063">
                  <c:v>41957</c:v>
                </c:pt>
                <c:pt idx="4064">
                  <c:v>41960</c:v>
                </c:pt>
                <c:pt idx="4065">
                  <c:v>41961</c:v>
                </c:pt>
                <c:pt idx="4066">
                  <c:v>41962</c:v>
                </c:pt>
                <c:pt idx="4067">
                  <c:v>41963</c:v>
                </c:pt>
                <c:pt idx="4068">
                  <c:v>41964</c:v>
                </c:pt>
                <c:pt idx="4069">
                  <c:v>41967</c:v>
                </c:pt>
                <c:pt idx="4070">
                  <c:v>41968</c:v>
                </c:pt>
                <c:pt idx="4071">
                  <c:v>41969</c:v>
                </c:pt>
                <c:pt idx="4072">
                  <c:v>41970</c:v>
                </c:pt>
                <c:pt idx="4073">
                  <c:v>41971</c:v>
                </c:pt>
                <c:pt idx="4074">
                  <c:v>41974</c:v>
                </c:pt>
                <c:pt idx="4075">
                  <c:v>41975</c:v>
                </c:pt>
                <c:pt idx="4076">
                  <c:v>41976</c:v>
                </c:pt>
                <c:pt idx="4077">
                  <c:v>41977</c:v>
                </c:pt>
                <c:pt idx="4078">
                  <c:v>41978</c:v>
                </c:pt>
                <c:pt idx="4079">
                  <c:v>41981</c:v>
                </c:pt>
                <c:pt idx="4080">
                  <c:v>41982</c:v>
                </c:pt>
                <c:pt idx="4081">
                  <c:v>41983</c:v>
                </c:pt>
                <c:pt idx="4082">
                  <c:v>41984</c:v>
                </c:pt>
                <c:pt idx="4083">
                  <c:v>41985</c:v>
                </c:pt>
                <c:pt idx="4084">
                  <c:v>41988</c:v>
                </c:pt>
                <c:pt idx="4085">
                  <c:v>41989</c:v>
                </c:pt>
                <c:pt idx="4086">
                  <c:v>41990</c:v>
                </c:pt>
                <c:pt idx="4087">
                  <c:v>41991</c:v>
                </c:pt>
                <c:pt idx="4088">
                  <c:v>41992</c:v>
                </c:pt>
                <c:pt idx="4089">
                  <c:v>41995</c:v>
                </c:pt>
                <c:pt idx="4090">
                  <c:v>41996</c:v>
                </c:pt>
                <c:pt idx="4091">
                  <c:v>41997</c:v>
                </c:pt>
                <c:pt idx="4092">
                  <c:v>42002</c:v>
                </c:pt>
                <c:pt idx="4093">
                  <c:v>42003</c:v>
                </c:pt>
                <c:pt idx="4094">
                  <c:v>42004</c:v>
                </c:pt>
                <c:pt idx="4095">
                  <c:v>42006</c:v>
                </c:pt>
                <c:pt idx="4096">
                  <c:v>42009</c:v>
                </c:pt>
                <c:pt idx="4097">
                  <c:v>42010</c:v>
                </c:pt>
                <c:pt idx="4098">
                  <c:v>42011</c:v>
                </c:pt>
                <c:pt idx="4099">
                  <c:v>42012</c:v>
                </c:pt>
                <c:pt idx="4100">
                  <c:v>42013</c:v>
                </c:pt>
                <c:pt idx="4101">
                  <c:v>42016</c:v>
                </c:pt>
                <c:pt idx="4102">
                  <c:v>42017</c:v>
                </c:pt>
                <c:pt idx="4103">
                  <c:v>42018</c:v>
                </c:pt>
                <c:pt idx="4104">
                  <c:v>42019</c:v>
                </c:pt>
                <c:pt idx="4105">
                  <c:v>42020</c:v>
                </c:pt>
                <c:pt idx="4106">
                  <c:v>42023</c:v>
                </c:pt>
                <c:pt idx="4107">
                  <c:v>42024</c:v>
                </c:pt>
                <c:pt idx="4108">
                  <c:v>42025</c:v>
                </c:pt>
                <c:pt idx="4109">
                  <c:v>42026</c:v>
                </c:pt>
                <c:pt idx="4110">
                  <c:v>42027</c:v>
                </c:pt>
                <c:pt idx="4111">
                  <c:v>42030</c:v>
                </c:pt>
                <c:pt idx="4112">
                  <c:v>42031</c:v>
                </c:pt>
                <c:pt idx="4113">
                  <c:v>42032</c:v>
                </c:pt>
                <c:pt idx="4114">
                  <c:v>42033</c:v>
                </c:pt>
                <c:pt idx="4115">
                  <c:v>42034</c:v>
                </c:pt>
                <c:pt idx="4116">
                  <c:v>42037</c:v>
                </c:pt>
                <c:pt idx="4117">
                  <c:v>42038</c:v>
                </c:pt>
                <c:pt idx="4118">
                  <c:v>42039</c:v>
                </c:pt>
                <c:pt idx="4119">
                  <c:v>42040</c:v>
                </c:pt>
                <c:pt idx="4120">
                  <c:v>42041</c:v>
                </c:pt>
                <c:pt idx="4121">
                  <c:v>42044</c:v>
                </c:pt>
                <c:pt idx="4122">
                  <c:v>42045</c:v>
                </c:pt>
                <c:pt idx="4123">
                  <c:v>42046</c:v>
                </c:pt>
                <c:pt idx="4124">
                  <c:v>42047</c:v>
                </c:pt>
                <c:pt idx="4125">
                  <c:v>42048</c:v>
                </c:pt>
                <c:pt idx="4126">
                  <c:v>42051</c:v>
                </c:pt>
                <c:pt idx="4127">
                  <c:v>42052</c:v>
                </c:pt>
                <c:pt idx="4128">
                  <c:v>42053</c:v>
                </c:pt>
                <c:pt idx="4129">
                  <c:v>42054</c:v>
                </c:pt>
                <c:pt idx="4130">
                  <c:v>42055</c:v>
                </c:pt>
                <c:pt idx="4131">
                  <c:v>42058</c:v>
                </c:pt>
                <c:pt idx="4132">
                  <c:v>42059</c:v>
                </c:pt>
                <c:pt idx="4133">
                  <c:v>42060</c:v>
                </c:pt>
                <c:pt idx="4134">
                  <c:v>42061</c:v>
                </c:pt>
                <c:pt idx="4135">
                  <c:v>42062</c:v>
                </c:pt>
                <c:pt idx="4136">
                  <c:v>42065</c:v>
                </c:pt>
                <c:pt idx="4137">
                  <c:v>42066</c:v>
                </c:pt>
                <c:pt idx="4138">
                  <c:v>42067</c:v>
                </c:pt>
                <c:pt idx="4139">
                  <c:v>42068</c:v>
                </c:pt>
                <c:pt idx="4140">
                  <c:v>42069</c:v>
                </c:pt>
                <c:pt idx="4141">
                  <c:v>42072</c:v>
                </c:pt>
                <c:pt idx="4142">
                  <c:v>42073</c:v>
                </c:pt>
                <c:pt idx="4143">
                  <c:v>42074</c:v>
                </c:pt>
                <c:pt idx="4144">
                  <c:v>42075</c:v>
                </c:pt>
                <c:pt idx="4145">
                  <c:v>42076</c:v>
                </c:pt>
                <c:pt idx="4146">
                  <c:v>42079</c:v>
                </c:pt>
                <c:pt idx="4147">
                  <c:v>42080</c:v>
                </c:pt>
                <c:pt idx="4148">
                  <c:v>42081</c:v>
                </c:pt>
                <c:pt idx="4149">
                  <c:v>42082</c:v>
                </c:pt>
                <c:pt idx="4150">
                  <c:v>42083</c:v>
                </c:pt>
                <c:pt idx="4151">
                  <c:v>42086</c:v>
                </c:pt>
                <c:pt idx="4152">
                  <c:v>42087</c:v>
                </c:pt>
                <c:pt idx="4153">
                  <c:v>42088</c:v>
                </c:pt>
                <c:pt idx="4154">
                  <c:v>42089</c:v>
                </c:pt>
                <c:pt idx="4155">
                  <c:v>42090</c:v>
                </c:pt>
                <c:pt idx="4156">
                  <c:v>42093</c:v>
                </c:pt>
                <c:pt idx="4157">
                  <c:v>42094</c:v>
                </c:pt>
                <c:pt idx="4158">
                  <c:v>42095</c:v>
                </c:pt>
                <c:pt idx="4159">
                  <c:v>42096</c:v>
                </c:pt>
                <c:pt idx="4160">
                  <c:v>42101</c:v>
                </c:pt>
                <c:pt idx="4161">
                  <c:v>42102</c:v>
                </c:pt>
                <c:pt idx="4162">
                  <c:v>42103</c:v>
                </c:pt>
                <c:pt idx="4163">
                  <c:v>42104</c:v>
                </c:pt>
                <c:pt idx="4164">
                  <c:v>42107</c:v>
                </c:pt>
                <c:pt idx="4165">
                  <c:v>42108</c:v>
                </c:pt>
                <c:pt idx="4166">
                  <c:v>42109</c:v>
                </c:pt>
                <c:pt idx="4167">
                  <c:v>42110</c:v>
                </c:pt>
                <c:pt idx="4168">
                  <c:v>42111</c:v>
                </c:pt>
                <c:pt idx="4169">
                  <c:v>42114</c:v>
                </c:pt>
                <c:pt idx="4170">
                  <c:v>42115</c:v>
                </c:pt>
                <c:pt idx="4171">
                  <c:v>42116</c:v>
                </c:pt>
                <c:pt idx="4172">
                  <c:v>42117</c:v>
                </c:pt>
                <c:pt idx="4173">
                  <c:v>42118</c:v>
                </c:pt>
                <c:pt idx="4174">
                  <c:v>42121</c:v>
                </c:pt>
                <c:pt idx="4175">
                  <c:v>42122</c:v>
                </c:pt>
                <c:pt idx="4176">
                  <c:v>42123</c:v>
                </c:pt>
                <c:pt idx="4177">
                  <c:v>42124</c:v>
                </c:pt>
                <c:pt idx="4178">
                  <c:v>42128</c:v>
                </c:pt>
                <c:pt idx="4179">
                  <c:v>42129</c:v>
                </c:pt>
                <c:pt idx="4180">
                  <c:v>42130</c:v>
                </c:pt>
                <c:pt idx="4181">
                  <c:v>42131</c:v>
                </c:pt>
                <c:pt idx="4182">
                  <c:v>42132</c:v>
                </c:pt>
                <c:pt idx="4183">
                  <c:v>42135</c:v>
                </c:pt>
                <c:pt idx="4184">
                  <c:v>42136</c:v>
                </c:pt>
                <c:pt idx="4185">
                  <c:v>42137</c:v>
                </c:pt>
                <c:pt idx="4186">
                  <c:v>42138</c:v>
                </c:pt>
                <c:pt idx="4187">
                  <c:v>42139</c:v>
                </c:pt>
                <c:pt idx="4188">
                  <c:v>42142</c:v>
                </c:pt>
                <c:pt idx="4189">
                  <c:v>42143</c:v>
                </c:pt>
                <c:pt idx="4190">
                  <c:v>42144</c:v>
                </c:pt>
                <c:pt idx="4191">
                  <c:v>42145</c:v>
                </c:pt>
                <c:pt idx="4192">
                  <c:v>42146</c:v>
                </c:pt>
                <c:pt idx="4193">
                  <c:v>42149</c:v>
                </c:pt>
                <c:pt idx="4194">
                  <c:v>42150</c:v>
                </c:pt>
                <c:pt idx="4195">
                  <c:v>42151</c:v>
                </c:pt>
                <c:pt idx="4196">
                  <c:v>42152</c:v>
                </c:pt>
                <c:pt idx="4197">
                  <c:v>42153</c:v>
                </c:pt>
                <c:pt idx="4198">
                  <c:v>42156</c:v>
                </c:pt>
                <c:pt idx="4199">
                  <c:v>42157</c:v>
                </c:pt>
                <c:pt idx="4200">
                  <c:v>42158</c:v>
                </c:pt>
                <c:pt idx="4201">
                  <c:v>42159</c:v>
                </c:pt>
                <c:pt idx="4202">
                  <c:v>42160</c:v>
                </c:pt>
                <c:pt idx="4203">
                  <c:v>42163</c:v>
                </c:pt>
                <c:pt idx="4204">
                  <c:v>42164</c:v>
                </c:pt>
                <c:pt idx="4205">
                  <c:v>42165</c:v>
                </c:pt>
                <c:pt idx="4206">
                  <c:v>42166</c:v>
                </c:pt>
                <c:pt idx="4207">
                  <c:v>42167</c:v>
                </c:pt>
                <c:pt idx="4208">
                  <c:v>42170</c:v>
                </c:pt>
                <c:pt idx="4209">
                  <c:v>42171</c:v>
                </c:pt>
                <c:pt idx="4210">
                  <c:v>42172</c:v>
                </c:pt>
                <c:pt idx="4211">
                  <c:v>42173</c:v>
                </c:pt>
                <c:pt idx="4212">
                  <c:v>42174</c:v>
                </c:pt>
                <c:pt idx="4213">
                  <c:v>42177</c:v>
                </c:pt>
                <c:pt idx="4214">
                  <c:v>42178</c:v>
                </c:pt>
                <c:pt idx="4215">
                  <c:v>42179</c:v>
                </c:pt>
                <c:pt idx="4216">
                  <c:v>42180</c:v>
                </c:pt>
                <c:pt idx="4217">
                  <c:v>42181</c:v>
                </c:pt>
                <c:pt idx="4218">
                  <c:v>42184</c:v>
                </c:pt>
                <c:pt idx="4219">
                  <c:v>42185</c:v>
                </c:pt>
                <c:pt idx="4220">
                  <c:v>42186</c:v>
                </c:pt>
                <c:pt idx="4221">
                  <c:v>42187</c:v>
                </c:pt>
                <c:pt idx="4222">
                  <c:v>42188</c:v>
                </c:pt>
                <c:pt idx="4223">
                  <c:v>42191</c:v>
                </c:pt>
                <c:pt idx="4224">
                  <c:v>42192</c:v>
                </c:pt>
                <c:pt idx="4225">
                  <c:v>42193</c:v>
                </c:pt>
                <c:pt idx="4226">
                  <c:v>42194</c:v>
                </c:pt>
                <c:pt idx="4227">
                  <c:v>42195</c:v>
                </c:pt>
                <c:pt idx="4228">
                  <c:v>42198</c:v>
                </c:pt>
                <c:pt idx="4229">
                  <c:v>42199</c:v>
                </c:pt>
                <c:pt idx="4230">
                  <c:v>42200</c:v>
                </c:pt>
                <c:pt idx="4231">
                  <c:v>42201</c:v>
                </c:pt>
                <c:pt idx="4232">
                  <c:v>42202</c:v>
                </c:pt>
                <c:pt idx="4233">
                  <c:v>42205</c:v>
                </c:pt>
                <c:pt idx="4234">
                  <c:v>42206</c:v>
                </c:pt>
                <c:pt idx="4235">
                  <c:v>42207</c:v>
                </c:pt>
                <c:pt idx="4236">
                  <c:v>42208</c:v>
                </c:pt>
                <c:pt idx="4237">
                  <c:v>42209</c:v>
                </c:pt>
                <c:pt idx="4238">
                  <c:v>42212</c:v>
                </c:pt>
                <c:pt idx="4239">
                  <c:v>42213</c:v>
                </c:pt>
                <c:pt idx="4240">
                  <c:v>42214</c:v>
                </c:pt>
                <c:pt idx="4241">
                  <c:v>42215</c:v>
                </c:pt>
                <c:pt idx="4242">
                  <c:v>42216</c:v>
                </c:pt>
                <c:pt idx="4243">
                  <c:v>42219</c:v>
                </c:pt>
                <c:pt idx="4244">
                  <c:v>42220</c:v>
                </c:pt>
                <c:pt idx="4245">
                  <c:v>42221</c:v>
                </c:pt>
                <c:pt idx="4246">
                  <c:v>42222</c:v>
                </c:pt>
                <c:pt idx="4247">
                  <c:v>42223</c:v>
                </c:pt>
                <c:pt idx="4248">
                  <c:v>42226</c:v>
                </c:pt>
                <c:pt idx="4249">
                  <c:v>42227</c:v>
                </c:pt>
                <c:pt idx="4250">
                  <c:v>42228</c:v>
                </c:pt>
                <c:pt idx="4251">
                  <c:v>42229</c:v>
                </c:pt>
                <c:pt idx="4252">
                  <c:v>42230</c:v>
                </c:pt>
                <c:pt idx="4253">
                  <c:v>42233</c:v>
                </c:pt>
                <c:pt idx="4254">
                  <c:v>42234</c:v>
                </c:pt>
                <c:pt idx="4255">
                  <c:v>42235</c:v>
                </c:pt>
                <c:pt idx="4256">
                  <c:v>42236</c:v>
                </c:pt>
                <c:pt idx="4257">
                  <c:v>42237</c:v>
                </c:pt>
                <c:pt idx="4258">
                  <c:v>42240</c:v>
                </c:pt>
                <c:pt idx="4259">
                  <c:v>42241</c:v>
                </c:pt>
                <c:pt idx="4260">
                  <c:v>42242</c:v>
                </c:pt>
                <c:pt idx="4261">
                  <c:v>42243</c:v>
                </c:pt>
                <c:pt idx="4262">
                  <c:v>42244</c:v>
                </c:pt>
                <c:pt idx="4263">
                  <c:v>42247</c:v>
                </c:pt>
                <c:pt idx="4264">
                  <c:v>42248</c:v>
                </c:pt>
                <c:pt idx="4265">
                  <c:v>42249</c:v>
                </c:pt>
                <c:pt idx="4266">
                  <c:v>42250</c:v>
                </c:pt>
                <c:pt idx="4267">
                  <c:v>42251</c:v>
                </c:pt>
                <c:pt idx="4268">
                  <c:v>42254</c:v>
                </c:pt>
                <c:pt idx="4269">
                  <c:v>42255</c:v>
                </c:pt>
                <c:pt idx="4270">
                  <c:v>42256</c:v>
                </c:pt>
                <c:pt idx="4271">
                  <c:v>42257</c:v>
                </c:pt>
                <c:pt idx="4272">
                  <c:v>42258</c:v>
                </c:pt>
                <c:pt idx="4273">
                  <c:v>42261</c:v>
                </c:pt>
                <c:pt idx="4274">
                  <c:v>42262</c:v>
                </c:pt>
                <c:pt idx="4275">
                  <c:v>42263</c:v>
                </c:pt>
                <c:pt idx="4276">
                  <c:v>42264</c:v>
                </c:pt>
                <c:pt idx="4277">
                  <c:v>42265</c:v>
                </c:pt>
                <c:pt idx="4278">
                  <c:v>42268</c:v>
                </c:pt>
                <c:pt idx="4279">
                  <c:v>42269</c:v>
                </c:pt>
                <c:pt idx="4280">
                  <c:v>42270</c:v>
                </c:pt>
                <c:pt idx="4281">
                  <c:v>42271</c:v>
                </c:pt>
                <c:pt idx="4282">
                  <c:v>42272</c:v>
                </c:pt>
                <c:pt idx="4283">
                  <c:v>42275</c:v>
                </c:pt>
                <c:pt idx="4284">
                  <c:v>42276</c:v>
                </c:pt>
                <c:pt idx="4285">
                  <c:v>42277</c:v>
                </c:pt>
                <c:pt idx="4286">
                  <c:v>42278</c:v>
                </c:pt>
                <c:pt idx="4287">
                  <c:v>42279</c:v>
                </c:pt>
                <c:pt idx="4288">
                  <c:v>42282</c:v>
                </c:pt>
                <c:pt idx="4289">
                  <c:v>42283</c:v>
                </c:pt>
                <c:pt idx="4290">
                  <c:v>42284</c:v>
                </c:pt>
                <c:pt idx="4291">
                  <c:v>42285</c:v>
                </c:pt>
                <c:pt idx="4292">
                  <c:v>42286</c:v>
                </c:pt>
                <c:pt idx="4293">
                  <c:v>42289</c:v>
                </c:pt>
                <c:pt idx="4294">
                  <c:v>42290</c:v>
                </c:pt>
                <c:pt idx="4295">
                  <c:v>42291</c:v>
                </c:pt>
                <c:pt idx="4296">
                  <c:v>42292</c:v>
                </c:pt>
                <c:pt idx="4297">
                  <c:v>42293</c:v>
                </c:pt>
                <c:pt idx="4298">
                  <c:v>42296</c:v>
                </c:pt>
                <c:pt idx="4299">
                  <c:v>42297</c:v>
                </c:pt>
                <c:pt idx="4300">
                  <c:v>42298</c:v>
                </c:pt>
                <c:pt idx="4301">
                  <c:v>42299</c:v>
                </c:pt>
                <c:pt idx="4302">
                  <c:v>42300</c:v>
                </c:pt>
                <c:pt idx="4303">
                  <c:v>42303</c:v>
                </c:pt>
                <c:pt idx="4304">
                  <c:v>42304</c:v>
                </c:pt>
                <c:pt idx="4305">
                  <c:v>42305</c:v>
                </c:pt>
                <c:pt idx="4306">
                  <c:v>42306</c:v>
                </c:pt>
                <c:pt idx="4307">
                  <c:v>42307</c:v>
                </c:pt>
                <c:pt idx="4308">
                  <c:v>42310</c:v>
                </c:pt>
                <c:pt idx="4309">
                  <c:v>42311</c:v>
                </c:pt>
                <c:pt idx="4310">
                  <c:v>42312</c:v>
                </c:pt>
                <c:pt idx="4311">
                  <c:v>42313</c:v>
                </c:pt>
                <c:pt idx="4312">
                  <c:v>42314</c:v>
                </c:pt>
                <c:pt idx="4313">
                  <c:v>42317</c:v>
                </c:pt>
                <c:pt idx="4314">
                  <c:v>42318</c:v>
                </c:pt>
                <c:pt idx="4315">
                  <c:v>42319</c:v>
                </c:pt>
                <c:pt idx="4316">
                  <c:v>42320</c:v>
                </c:pt>
                <c:pt idx="4317">
                  <c:v>42321</c:v>
                </c:pt>
                <c:pt idx="4318">
                  <c:v>42324</c:v>
                </c:pt>
                <c:pt idx="4319">
                  <c:v>42325</c:v>
                </c:pt>
                <c:pt idx="4320">
                  <c:v>42326</c:v>
                </c:pt>
                <c:pt idx="4321">
                  <c:v>42327</c:v>
                </c:pt>
                <c:pt idx="4322">
                  <c:v>42328</c:v>
                </c:pt>
                <c:pt idx="4323">
                  <c:v>42331</c:v>
                </c:pt>
                <c:pt idx="4324">
                  <c:v>42332</c:v>
                </c:pt>
                <c:pt idx="4325">
                  <c:v>42333</c:v>
                </c:pt>
                <c:pt idx="4326">
                  <c:v>42334</c:v>
                </c:pt>
                <c:pt idx="4327">
                  <c:v>42335</c:v>
                </c:pt>
                <c:pt idx="4328">
                  <c:v>42338</c:v>
                </c:pt>
                <c:pt idx="4329">
                  <c:v>42339</c:v>
                </c:pt>
                <c:pt idx="4330">
                  <c:v>42340</c:v>
                </c:pt>
                <c:pt idx="4331">
                  <c:v>42341</c:v>
                </c:pt>
                <c:pt idx="4332">
                  <c:v>42342</c:v>
                </c:pt>
                <c:pt idx="4333">
                  <c:v>42345</c:v>
                </c:pt>
                <c:pt idx="4334">
                  <c:v>42347</c:v>
                </c:pt>
                <c:pt idx="4335">
                  <c:v>42348</c:v>
                </c:pt>
                <c:pt idx="4336">
                  <c:v>42349</c:v>
                </c:pt>
                <c:pt idx="4337">
                  <c:v>42352</c:v>
                </c:pt>
                <c:pt idx="4338">
                  <c:v>42353</c:v>
                </c:pt>
                <c:pt idx="4339">
                  <c:v>42354</c:v>
                </c:pt>
                <c:pt idx="4340">
                  <c:v>42355</c:v>
                </c:pt>
                <c:pt idx="4341">
                  <c:v>42356</c:v>
                </c:pt>
                <c:pt idx="4342">
                  <c:v>42359</c:v>
                </c:pt>
                <c:pt idx="4343">
                  <c:v>42360</c:v>
                </c:pt>
                <c:pt idx="4344">
                  <c:v>42361</c:v>
                </c:pt>
                <c:pt idx="4345">
                  <c:v>42362</c:v>
                </c:pt>
                <c:pt idx="4346">
                  <c:v>42366</c:v>
                </c:pt>
                <c:pt idx="4347">
                  <c:v>42367</c:v>
                </c:pt>
                <c:pt idx="4348">
                  <c:v>42368</c:v>
                </c:pt>
                <c:pt idx="4349">
                  <c:v>42369</c:v>
                </c:pt>
                <c:pt idx="4350">
                  <c:v>42373</c:v>
                </c:pt>
                <c:pt idx="4351">
                  <c:v>42374</c:v>
                </c:pt>
                <c:pt idx="4352">
                  <c:v>42375</c:v>
                </c:pt>
                <c:pt idx="4353">
                  <c:v>42376</c:v>
                </c:pt>
                <c:pt idx="4354">
                  <c:v>42377</c:v>
                </c:pt>
                <c:pt idx="4355">
                  <c:v>42380</c:v>
                </c:pt>
                <c:pt idx="4356">
                  <c:v>42381</c:v>
                </c:pt>
                <c:pt idx="4357">
                  <c:v>42382</c:v>
                </c:pt>
                <c:pt idx="4358">
                  <c:v>42383</c:v>
                </c:pt>
                <c:pt idx="4359">
                  <c:v>42384</c:v>
                </c:pt>
                <c:pt idx="4360">
                  <c:v>42387</c:v>
                </c:pt>
                <c:pt idx="4361">
                  <c:v>42388</c:v>
                </c:pt>
                <c:pt idx="4362">
                  <c:v>42389</c:v>
                </c:pt>
                <c:pt idx="4363">
                  <c:v>42390</c:v>
                </c:pt>
                <c:pt idx="4364">
                  <c:v>42391</c:v>
                </c:pt>
                <c:pt idx="4365">
                  <c:v>42394</c:v>
                </c:pt>
                <c:pt idx="4366">
                  <c:v>42395</c:v>
                </c:pt>
                <c:pt idx="4367">
                  <c:v>42396</c:v>
                </c:pt>
                <c:pt idx="4368">
                  <c:v>42397</c:v>
                </c:pt>
                <c:pt idx="4369">
                  <c:v>42398</c:v>
                </c:pt>
                <c:pt idx="4370">
                  <c:v>42401</c:v>
                </c:pt>
                <c:pt idx="4371">
                  <c:v>42402</c:v>
                </c:pt>
                <c:pt idx="4372">
                  <c:v>42403</c:v>
                </c:pt>
                <c:pt idx="4373">
                  <c:v>42404</c:v>
                </c:pt>
                <c:pt idx="4374">
                  <c:v>42405</c:v>
                </c:pt>
                <c:pt idx="4375">
                  <c:v>42408</c:v>
                </c:pt>
                <c:pt idx="4376">
                  <c:v>42409</c:v>
                </c:pt>
                <c:pt idx="4377">
                  <c:v>42410</c:v>
                </c:pt>
                <c:pt idx="4378">
                  <c:v>42411</c:v>
                </c:pt>
                <c:pt idx="4379">
                  <c:v>42412</c:v>
                </c:pt>
                <c:pt idx="4380">
                  <c:v>42415</c:v>
                </c:pt>
                <c:pt idx="4381">
                  <c:v>42416</c:v>
                </c:pt>
                <c:pt idx="4382">
                  <c:v>42417</c:v>
                </c:pt>
                <c:pt idx="4383">
                  <c:v>42418</c:v>
                </c:pt>
                <c:pt idx="4384">
                  <c:v>42419</c:v>
                </c:pt>
                <c:pt idx="4385">
                  <c:v>42422</c:v>
                </c:pt>
                <c:pt idx="4386">
                  <c:v>42423</c:v>
                </c:pt>
                <c:pt idx="4387">
                  <c:v>42424</c:v>
                </c:pt>
                <c:pt idx="4388">
                  <c:v>42425</c:v>
                </c:pt>
                <c:pt idx="4389">
                  <c:v>42426</c:v>
                </c:pt>
                <c:pt idx="4390">
                  <c:v>42429</c:v>
                </c:pt>
                <c:pt idx="4391">
                  <c:v>42430</c:v>
                </c:pt>
                <c:pt idx="4392">
                  <c:v>42431</c:v>
                </c:pt>
                <c:pt idx="4393">
                  <c:v>42432</c:v>
                </c:pt>
                <c:pt idx="4394">
                  <c:v>42433</c:v>
                </c:pt>
                <c:pt idx="4395">
                  <c:v>42436</c:v>
                </c:pt>
                <c:pt idx="4396">
                  <c:v>42437</c:v>
                </c:pt>
                <c:pt idx="4397">
                  <c:v>42438</c:v>
                </c:pt>
                <c:pt idx="4398">
                  <c:v>42439</c:v>
                </c:pt>
                <c:pt idx="4399">
                  <c:v>42440</c:v>
                </c:pt>
                <c:pt idx="4400">
                  <c:v>42443</c:v>
                </c:pt>
                <c:pt idx="4401">
                  <c:v>42444</c:v>
                </c:pt>
                <c:pt idx="4402">
                  <c:v>42445</c:v>
                </c:pt>
                <c:pt idx="4403">
                  <c:v>42446</c:v>
                </c:pt>
                <c:pt idx="4404">
                  <c:v>42447</c:v>
                </c:pt>
                <c:pt idx="4405">
                  <c:v>42450</c:v>
                </c:pt>
                <c:pt idx="4406">
                  <c:v>42451</c:v>
                </c:pt>
                <c:pt idx="4407">
                  <c:v>42452</c:v>
                </c:pt>
                <c:pt idx="4408">
                  <c:v>42453</c:v>
                </c:pt>
                <c:pt idx="4409">
                  <c:v>42458</c:v>
                </c:pt>
                <c:pt idx="4410">
                  <c:v>42459</c:v>
                </c:pt>
                <c:pt idx="4411">
                  <c:v>42460</c:v>
                </c:pt>
                <c:pt idx="4412">
                  <c:v>42461</c:v>
                </c:pt>
                <c:pt idx="4413">
                  <c:v>42464</c:v>
                </c:pt>
                <c:pt idx="4414">
                  <c:v>42465</c:v>
                </c:pt>
                <c:pt idx="4415">
                  <c:v>42466</c:v>
                </c:pt>
                <c:pt idx="4416">
                  <c:v>42467</c:v>
                </c:pt>
                <c:pt idx="4417">
                  <c:v>42468</c:v>
                </c:pt>
                <c:pt idx="4418">
                  <c:v>42471</c:v>
                </c:pt>
                <c:pt idx="4419">
                  <c:v>42472</c:v>
                </c:pt>
                <c:pt idx="4420">
                  <c:v>42473</c:v>
                </c:pt>
                <c:pt idx="4421">
                  <c:v>42474</c:v>
                </c:pt>
                <c:pt idx="4422">
                  <c:v>42475</c:v>
                </c:pt>
                <c:pt idx="4423">
                  <c:v>42478</c:v>
                </c:pt>
                <c:pt idx="4424">
                  <c:v>42479</c:v>
                </c:pt>
                <c:pt idx="4425">
                  <c:v>42480</c:v>
                </c:pt>
                <c:pt idx="4426">
                  <c:v>42481</c:v>
                </c:pt>
                <c:pt idx="4427">
                  <c:v>42482</c:v>
                </c:pt>
                <c:pt idx="4428">
                  <c:v>42485</c:v>
                </c:pt>
                <c:pt idx="4429">
                  <c:v>42486</c:v>
                </c:pt>
                <c:pt idx="4430">
                  <c:v>42487</c:v>
                </c:pt>
                <c:pt idx="4431">
                  <c:v>42488</c:v>
                </c:pt>
                <c:pt idx="4432">
                  <c:v>42489</c:v>
                </c:pt>
                <c:pt idx="4433">
                  <c:v>42492</c:v>
                </c:pt>
                <c:pt idx="4434">
                  <c:v>42493</c:v>
                </c:pt>
                <c:pt idx="4435">
                  <c:v>42494</c:v>
                </c:pt>
                <c:pt idx="4436">
                  <c:v>42495</c:v>
                </c:pt>
                <c:pt idx="4437">
                  <c:v>42496</c:v>
                </c:pt>
                <c:pt idx="4438">
                  <c:v>42499</c:v>
                </c:pt>
                <c:pt idx="4439">
                  <c:v>42500</c:v>
                </c:pt>
                <c:pt idx="4440">
                  <c:v>42501</c:v>
                </c:pt>
                <c:pt idx="4441">
                  <c:v>42502</c:v>
                </c:pt>
                <c:pt idx="4442">
                  <c:v>42503</c:v>
                </c:pt>
                <c:pt idx="4443">
                  <c:v>42506</c:v>
                </c:pt>
                <c:pt idx="4444">
                  <c:v>42507</c:v>
                </c:pt>
                <c:pt idx="4445">
                  <c:v>42508</c:v>
                </c:pt>
                <c:pt idx="4446">
                  <c:v>42509</c:v>
                </c:pt>
                <c:pt idx="4447">
                  <c:v>42510</c:v>
                </c:pt>
                <c:pt idx="4448">
                  <c:v>42513</c:v>
                </c:pt>
                <c:pt idx="4449">
                  <c:v>42514</c:v>
                </c:pt>
                <c:pt idx="4450">
                  <c:v>42515</c:v>
                </c:pt>
                <c:pt idx="4451">
                  <c:v>42516</c:v>
                </c:pt>
                <c:pt idx="4452">
                  <c:v>42517</c:v>
                </c:pt>
                <c:pt idx="4453">
                  <c:v>42520</c:v>
                </c:pt>
                <c:pt idx="4454">
                  <c:v>42521</c:v>
                </c:pt>
                <c:pt idx="4455">
                  <c:v>42522</c:v>
                </c:pt>
                <c:pt idx="4456">
                  <c:v>42523</c:v>
                </c:pt>
                <c:pt idx="4457">
                  <c:v>42524</c:v>
                </c:pt>
                <c:pt idx="4458">
                  <c:v>42527</c:v>
                </c:pt>
                <c:pt idx="4459">
                  <c:v>42528</c:v>
                </c:pt>
                <c:pt idx="4460">
                  <c:v>42529</c:v>
                </c:pt>
                <c:pt idx="4461">
                  <c:v>42530</c:v>
                </c:pt>
                <c:pt idx="4462">
                  <c:v>42531</c:v>
                </c:pt>
                <c:pt idx="4463">
                  <c:v>42534</c:v>
                </c:pt>
                <c:pt idx="4464">
                  <c:v>42535</c:v>
                </c:pt>
                <c:pt idx="4465">
                  <c:v>42536</c:v>
                </c:pt>
                <c:pt idx="4466">
                  <c:v>42537</c:v>
                </c:pt>
                <c:pt idx="4467">
                  <c:v>42538</c:v>
                </c:pt>
                <c:pt idx="4468">
                  <c:v>42541</c:v>
                </c:pt>
                <c:pt idx="4469">
                  <c:v>42542</c:v>
                </c:pt>
                <c:pt idx="4470">
                  <c:v>42543</c:v>
                </c:pt>
                <c:pt idx="4471">
                  <c:v>42544</c:v>
                </c:pt>
                <c:pt idx="4472">
                  <c:v>42545</c:v>
                </c:pt>
                <c:pt idx="4473">
                  <c:v>42548</c:v>
                </c:pt>
                <c:pt idx="4474">
                  <c:v>42549</c:v>
                </c:pt>
                <c:pt idx="4475">
                  <c:v>42550</c:v>
                </c:pt>
                <c:pt idx="4476">
                  <c:v>42551</c:v>
                </c:pt>
                <c:pt idx="4477">
                  <c:v>42552</c:v>
                </c:pt>
                <c:pt idx="4478">
                  <c:v>42555</c:v>
                </c:pt>
                <c:pt idx="4479">
                  <c:v>42556</c:v>
                </c:pt>
                <c:pt idx="4480">
                  <c:v>42557</c:v>
                </c:pt>
                <c:pt idx="4481">
                  <c:v>42558</c:v>
                </c:pt>
                <c:pt idx="4482">
                  <c:v>42559</c:v>
                </c:pt>
                <c:pt idx="4483">
                  <c:v>42562</c:v>
                </c:pt>
                <c:pt idx="4484">
                  <c:v>42563</c:v>
                </c:pt>
                <c:pt idx="4485">
                  <c:v>42564</c:v>
                </c:pt>
                <c:pt idx="4486">
                  <c:v>42565</c:v>
                </c:pt>
                <c:pt idx="4487">
                  <c:v>42566</c:v>
                </c:pt>
                <c:pt idx="4488">
                  <c:v>42569</c:v>
                </c:pt>
                <c:pt idx="4489">
                  <c:v>42570</c:v>
                </c:pt>
                <c:pt idx="4490">
                  <c:v>42571</c:v>
                </c:pt>
                <c:pt idx="4491">
                  <c:v>42572</c:v>
                </c:pt>
                <c:pt idx="4492">
                  <c:v>42573</c:v>
                </c:pt>
                <c:pt idx="4493">
                  <c:v>42576</c:v>
                </c:pt>
                <c:pt idx="4494">
                  <c:v>42577</c:v>
                </c:pt>
                <c:pt idx="4495">
                  <c:v>42578</c:v>
                </c:pt>
                <c:pt idx="4496">
                  <c:v>42579</c:v>
                </c:pt>
                <c:pt idx="4497">
                  <c:v>42580</c:v>
                </c:pt>
                <c:pt idx="4498">
                  <c:v>42583</c:v>
                </c:pt>
                <c:pt idx="4499">
                  <c:v>42584</c:v>
                </c:pt>
                <c:pt idx="4500">
                  <c:v>42585</c:v>
                </c:pt>
                <c:pt idx="4501">
                  <c:v>42586</c:v>
                </c:pt>
                <c:pt idx="4502">
                  <c:v>42587</c:v>
                </c:pt>
                <c:pt idx="4503">
                  <c:v>42590</c:v>
                </c:pt>
                <c:pt idx="4504">
                  <c:v>42591</c:v>
                </c:pt>
                <c:pt idx="4505">
                  <c:v>42592</c:v>
                </c:pt>
                <c:pt idx="4506">
                  <c:v>42593</c:v>
                </c:pt>
                <c:pt idx="4507">
                  <c:v>42594</c:v>
                </c:pt>
                <c:pt idx="4508">
                  <c:v>42597</c:v>
                </c:pt>
                <c:pt idx="4509">
                  <c:v>42598</c:v>
                </c:pt>
                <c:pt idx="4510">
                  <c:v>42599</c:v>
                </c:pt>
                <c:pt idx="4511">
                  <c:v>42600</c:v>
                </c:pt>
                <c:pt idx="4512">
                  <c:v>42601</c:v>
                </c:pt>
                <c:pt idx="4513">
                  <c:v>42604</c:v>
                </c:pt>
                <c:pt idx="4514">
                  <c:v>42605</c:v>
                </c:pt>
                <c:pt idx="4515">
                  <c:v>42606</c:v>
                </c:pt>
                <c:pt idx="4516">
                  <c:v>42607</c:v>
                </c:pt>
                <c:pt idx="4517">
                  <c:v>42608</c:v>
                </c:pt>
                <c:pt idx="4518">
                  <c:v>42611</c:v>
                </c:pt>
                <c:pt idx="4519">
                  <c:v>42612</c:v>
                </c:pt>
                <c:pt idx="4520">
                  <c:v>42613</c:v>
                </c:pt>
                <c:pt idx="4521">
                  <c:v>42614</c:v>
                </c:pt>
                <c:pt idx="4522">
                  <c:v>42615</c:v>
                </c:pt>
                <c:pt idx="4523">
                  <c:v>42618</c:v>
                </c:pt>
                <c:pt idx="4524">
                  <c:v>42619</c:v>
                </c:pt>
                <c:pt idx="4525">
                  <c:v>42620</c:v>
                </c:pt>
                <c:pt idx="4526">
                  <c:v>42621</c:v>
                </c:pt>
                <c:pt idx="4527">
                  <c:v>42622</c:v>
                </c:pt>
                <c:pt idx="4528">
                  <c:v>42625</c:v>
                </c:pt>
                <c:pt idx="4529">
                  <c:v>42626</c:v>
                </c:pt>
                <c:pt idx="4530">
                  <c:v>42627</c:v>
                </c:pt>
                <c:pt idx="4531">
                  <c:v>42628</c:v>
                </c:pt>
                <c:pt idx="4532">
                  <c:v>42629</c:v>
                </c:pt>
                <c:pt idx="4533">
                  <c:v>42632</c:v>
                </c:pt>
                <c:pt idx="4534">
                  <c:v>42633</c:v>
                </c:pt>
                <c:pt idx="4535">
                  <c:v>42634</c:v>
                </c:pt>
              </c:numCache>
            </c:numRef>
          </c:cat>
          <c:val>
            <c:numRef>
              <c:f>'page3_quot (1)'!$B$9:$B$4544</c:f>
              <c:numCache>
                <c:formatCode>General</c:formatCode>
                <c:ptCount val="4536"/>
                <c:pt idx="0">
                  <c:v>3.2</c:v>
                </c:pt>
                <c:pt idx="1">
                  <c:v>3.2</c:v>
                </c:pt>
                <c:pt idx="2">
                  <c:v>3.21</c:v>
                </c:pt>
                <c:pt idx="3">
                  <c:v>3.21</c:v>
                </c:pt>
                <c:pt idx="4">
                  <c:v>3.21</c:v>
                </c:pt>
                <c:pt idx="5">
                  <c:v>3.2</c:v>
                </c:pt>
                <c:pt idx="6">
                  <c:v>3.19</c:v>
                </c:pt>
                <c:pt idx="7">
                  <c:v>3.18</c:v>
                </c:pt>
                <c:pt idx="8">
                  <c:v>3.16</c:v>
                </c:pt>
                <c:pt idx="9">
                  <c:v>3.1</c:v>
                </c:pt>
                <c:pt idx="10">
                  <c:v>3.02</c:v>
                </c:pt>
                <c:pt idx="11">
                  <c:v>2.98</c:v>
                </c:pt>
                <c:pt idx="12">
                  <c:v>3.01</c:v>
                </c:pt>
                <c:pt idx="13">
                  <c:v>3.03</c:v>
                </c:pt>
                <c:pt idx="14">
                  <c:v>3.07</c:v>
                </c:pt>
                <c:pt idx="15">
                  <c:v>3.14</c:v>
                </c:pt>
                <c:pt idx="16">
                  <c:v>3.22</c:v>
                </c:pt>
                <c:pt idx="17">
                  <c:v>3.13</c:v>
                </c:pt>
                <c:pt idx="18">
                  <c:v>3.12</c:v>
                </c:pt>
                <c:pt idx="19">
                  <c:v>3.16</c:v>
                </c:pt>
                <c:pt idx="20">
                  <c:v>3.17</c:v>
                </c:pt>
                <c:pt idx="21">
                  <c:v>3.18</c:v>
                </c:pt>
                <c:pt idx="22">
                  <c:v>3.18</c:v>
                </c:pt>
                <c:pt idx="23">
                  <c:v>3.17</c:v>
                </c:pt>
                <c:pt idx="24">
                  <c:v>3.15</c:v>
                </c:pt>
                <c:pt idx="25">
                  <c:v>3.15</c:v>
                </c:pt>
                <c:pt idx="26">
                  <c:v>3.13</c:v>
                </c:pt>
                <c:pt idx="27">
                  <c:v>3.12</c:v>
                </c:pt>
                <c:pt idx="28">
                  <c:v>3.1</c:v>
                </c:pt>
                <c:pt idx="29">
                  <c:v>3.08</c:v>
                </c:pt>
                <c:pt idx="30">
                  <c:v>3.06</c:v>
                </c:pt>
                <c:pt idx="31">
                  <c:v>3.04</c:v>
                </c:pt>
                <c:pt idx="32">
                  <c:v>3.03</c:v>
                </c:pt>
                <c:pt idx="33">
                  <c:v>3.02</c:v>
                </c:pt>
                <c:pt idx="34">
                  <c:v>3.03</c:v>
                </c:pt>
                <c:pt idx="35">
                  <c:v>3.05</c:v>
                </c:pt>
                <c:pt idx="36">
                  <c:v>3.34</c:v>
                </c:pt>
                <c:pt idx="37">
                  <c:v>3.13</c:v>
                </c:pt>
                <c:pt idx="38">
                  <c:v>3.11</c:v>
                </c:pt>
                <c:pt idx="39">
                  <c:v>3.12</c:v>
                </c:pt>
                <c:pt idx="40">
                  <c:v>3.12</c:v>
                </c:pt>
                <c:pt idx="41">
                  <c:v>3.11</c:v>
                </c:pt>
                <c:pt idx="42">
                  <c:v>3.08</c:v>
                </c:pt>
                <c:pt idx="43">
                  <c:v>3.06</c:v>
                </c:pt>
                <c:pt idx="44">
                  <c:v>3.04</c:v>
                </c:pt>
                <c:pt idx="45">
                  <c:v>3.03</c:v>
                </c:pt>
                <c:pt idx="46">
                  <c:v>3.03</c:v>
                </c:pt>
                <c:pt idx="47">
                  <c:v>3.02</c:v>
                </c:pt>
                <c:pt idx="48">
                  <c:v>2.99</c:v>
                </c:pt>
                <c:pt idx="49">
                  <c:v>2.92</c:v>
                </c:pt>
                <c:pt idx="50">
                  <c:v>2.9</c:v>
                </c:pt>
                <c:pt idx="51">
                  <c:v>2.9</c:v>
                </c:pt>
                <c:pt idx="52">
                  <c:v>2.98</c:v>
                </c:pt>
                <c:pt idx="53">
                  <c:v>2.95</c:v>
                </c:pt>
                <c:pt idx="54">
                  <c:v>2.65</c:v>
                </c:pt>
                <c:pt idx="55">
                  <c:v>2.19</c:v>
                </c:pt>
                <c:pt idx="56">
                  <c:v>2.39</c:v>
                </c:pt>
                <c:pt idx="57">
                  <c:v>2.98</c:v>
                </c:pt>
                <c:pt idx="58">
                  <c:v>2.99</c:v>
                </c:pt>
                <c:pt idx="59">
                  <c:v>2.99</c:v>
                </c:pt>
                <c:pt idx="60">
                  <c:v>2.99</c:v>
                </c:pt>
                <c:pt idx="61">
                  <c:v>2.98</c:v>
                </c:pt>
                <c:pt idx="62">
                  <c:v>2.99</c:v>
                </c:pt>
                <c:pt idx="63">
                  <c:v>2.98</c:v>
                </c:pt>
                <c:pt idx="64">
                  <c:v>2.96</c:v>
                </c:pt>
                <c:pt idx="65">
                  <c:v>2.97</c:v>
                </c:pt>
                <c:pt idx="66">
                  <c:v>2.98</c:v>
                </c:pt>
                <c:pt idx="67">
                  <c:v>3.08</c:v>
                </c:pt>
                <c:pt idx="68">
                  <c:v>3.11</c:v>
                </c:pt>
                <c:pt idx="69">
                  <c:v>2.81</c:v>
                </c:pt>
                <c:pt idx="70">
                  <c:v>2.77</c:v>
                </c:pt>
                <c:pt idx="71">
                  <c:v>2.73</c:v>
                </c:pt>
                <c:pt idx="72">
                  <c:v>2.6</c:v>
                </c:pt>
                <c:pt idx="73">
                  <c:v>2.58</c:v>
                </c:pt>
                <c:pt idx="74">
                  <c:v>2.5499999999999998</c:v>
                </c:pt>
                <c:pt idx="75">
                  <c:v>2.5099999999999998</c:v>
                </c:pt>
                <c:pt idx="76">
                  <c:v>2.4700000000000002</c:v>
                </c:pt>
                <c:pt idx="77">
                  <c:v>2.4700000000000002</c:v>
                </c:pt>
                <c:pt idx="78">
                  <c:v>2.4700000000000002</c:v>
                </c:pt>
                <c:pt idx="79">
                  <c:v>2.93</c:v>
                </c:pt>
                <c:pt idx="80">
                  <c:v>2.5299999999999998</c:v>
                </c:pt>
                <c:pt idx="81">
                  <c:v>2.5299999999999998</c:v>
                </c:pt>
                <c:pt idx="82">
                  <c:v>2.52</c:v>
                </c:pt>
                <c:pt idx="83">
                  <c:v>2.52</c:v>
                </c:pt>
                <c:pt idx="84">
                  <c:v>2.5299999999999998</c:v>
                </c:pt>
                <c:pt idx="85">
                  <c:v>2.52</c:v>
                </c:pt>
                <c:pt idx="86">
                  <c:v>2.5099999999999998</c:v>
                </c:pt>
                <c:pt idx="87">
                  <c:v>2.5099999999999998</c:v>
                </c:pt>
                <c:pt idx="88">
                  <c:v>2.5099999999999998</c:v>
                </c:pt>
                <c:pt idx="89">
                  <c:v>2.5099999999999998</c:v>
                </c:pt>
                <c:pt idx="90">
                  <c:v>2.5099999999999998</c:v>
                </c:pt>
                <c:pt idx="91">
                  <c:v>2.5099999999999998</c:v>
                </c:pt>
                <c:pt idx="92">
                  <c:v>2.5099999999999998</c:v>
                </c:pt>
                <c:pt idx="93">
                  <c:v>2.5099999999999998</c:v>
                </c:pt>
                <c:pt idx="94">
                  <c:v>2.52</c:v>
                </c:pt>
                <c:pt idx="95">
                  <c:v>2.5299999999999998</c:v>
                </c:pt>
                <c:pt idx="96">
                  <c:v>2.64</c:v>
                </c:pt>
                <c:pt idx="97">
                  <c:v>3.02</c:v>
                </c:pt>
                <c:pt idx="98">
                  <c:v>2.61</c:v>
                </c:pt>
                <c:pt idx="99">
                  <c:v>2.54</c:v>
                </c:pt>
                <c:pt idx="100">
                  <c:v>2.54</c:v>
                </c:pt>
                <c:pt idx="101">
                  <c:v>2.52</c:v>
                </c:pt>
                <c:pt idx="102">
                  <c:v>2.5099999999999998</c:v>
                </c:pt>
                <c:pt idx="103">
                  <c:v>2.5099999999999998</c:v>
                </c:pt>
                <c:pt idx="104">
                  <c:v>2.52</c:v>
                </c:pt>
                <c:pt idx="105">
                  <c:v>2.52</c:v>
                </c:pt>
                <c:pt idx="106">
                  <c:v>2.5299999999999998</c:v>
                </c:pt>
                <c:pt idx="107">
                  <c:v>2.54</c:v>
                </c:pt>
                <c:pt idx="108">
                  <c:v>2.54</c:v>
                </c:pt>
                <c:pt idx="109">
                  <c:v>2.54</c:v>
                </c:pt>
                <c:pt idx="110">
                  <c:v>2.54</c:v>
                </c:pt>
                <c:pt idx="111">
                  <c:v>2.54</c:v>
                </c:pt>
                <c:pt idx="112">
                  <c:v>2.54</c:v>
                </c:pt>
                <c:pt idx="113">
                  <c:v>2.5499999999999998</c:v>
                </c:pt>
                <c:pt idx="114">
                  <c:v>2.5499999999999998</c:v>
                </c:pt>
                <c:pt idx="115">
                  <c:v>2.5499999999999998</c:v>
                </c:pt>
                <c:pt idx="116">
                  <c:v>2.56</c:v>
                </c:pt>
                <c:pt idx="117">
                  <c:v>2.58</c:v>
                </c:pt>
                <c:pt idx="118">
                  <c:v>2.6</c:v>
                </c:pt>
                <c:pt idx="119">
                  <c:v>2.67</c:v>
                </c:pt>
                <c:pt idx="120">
                  <c:v>2.66</c:v>
                </c:pt>
                <c:pt idx="121">
                  <c:v>2.23</c:v>
                </c:pt>
                <c:pt idx="122">
                  <c:v>2.5499999999999998</c:v>
                </c:pt>
                <c:pt idx="123">
                  <c:v>2.58</c:v>
                </c:pt>
                <c:pt idx="124">
                  <c:v>2.6</c:v>
                </c:pt>
                <c:pt idx="125">
                  <c:v>2.66</c:v>
                </c:pt>
                <c:pt idx="126">
                  <c:v>2.76</c:v>
                </c:pt>
                <c:pt idx="127">
                  <c:v>2.6</c:v>
                </c:pt>
                <c:pt idx="128">
                  <c:v>2.58</c:v>
                </c:pt>
                <c:pt idx="129">
                  <c:v>2.57</c:v>
                </c:pt>
                <c:pt idx="130">
                  <c:v>2.56</c:v>
                </c:pt>
                <c:pt idx="131">
                  <c:v>2.54</c:v>
                </c:pt>
                <c:pt idx="132">
                  <c:v>2.54</c:v>
                </c:pt>
                <c:pt idx="133">
                  <c:v>2.54</c:v>
                </c:pt>
                <c:pt idx="134">
                  <c:v>2.54</c:v>
                </c:pt>
                <c:pt idx="135">
                  <c:v>2.5499999999999998</c:v>
                </c:pt>
                <c:pt idx="136">
                  <c:v>2.56</c:v>
                </c:pt>
                <c:pt idx="137">
                  <c:v>2.59</c:v>
                </c:pt>
                <c:pt idx="138">
                  <c:v>2.62</c:v>
                </c:pt>
                <c:pt idx="139">
                  <c:v>2.63</c:v>
                </c:pt>
                <c:pt idx="140">
                  <c:v>2.63</c:v>
                </c:pt>
                <c:pt idx="141">
                  <c:v>2.6</c:v>
                </c:pt>
                <c:pt idx="142">
                  <c:v>2.04</c:v>
                </c:pt>
                <c:pt idx="143">
                  <c:v>1.87</c:v>
                </c:pt>
                <c:pt idx="144">
                  <c:v>2.57</c:v>
                </c:pt>
                <c:pt idx="145">
                  <c:v>2.59</c:v>
                </c:pt>
                <c:pt idx="146">
                  <c:v>2.58</c:v>
                </c:pt>
                <c:pt idx="147">
                  <c:v>2.58</c:v>
                </c:pt>
                <c:pt idx="148">
                  <c:v>2.58</c:v>
                </c:pt>
                <c:pt idx="149">
                  <c:v>2.58</c:v>
                </c:pt>
                <c:pt idx="150">
                  <c:v>2.5499999999999998</c:v>
                </c:pt>
                <c:pt idx="151">
                  <c:v>2.54</c:v>
                </c:pt>
                <c:pt idx="152">
                  <c:v>2.5299999999999998</c:v>
                </c:pt>
                <c:pt idx="153">
                  <c:v>2.5299999999999998</c:v>
                </c:pt>
                <c:pt idx="154">
                  <c:v>2.5299999999999998</c:v>
                </c:pt>
                <c:pt idx="155">
                  <c:v>2.54</c:v>
                </c:pt>
                <c:pt idx="156">
                  <c:v>2.5499999999999998</c:v>
                </c:pt>
                <c:pt idx="157">
                  <c:v>2.56</c:v>
                </c:pt>
                <c:pt idx="158">
                  <c:v>2.57</c:v>
                </c:pt>
                <c:pt idx="159">
                  <c:v>2.57</c:v>
                </c:pt>
                <c:pt idx="160">
                  <c:v>2.5499999999999998</c:v>
                </c:pt>
                <c:pt idx="161">
                  <c:v>2.16</c:v>
                </c:pt>
                <c:pt idx="162">
                  <c:v>1.85</c:v>
                </c:pt>
                <c:pt idx="163">
                  <c:v>1.94</c:v>
                </c:pt>
                <c:pt idx="164">
                  <c:v>1.86</c:v>
                </c:pt>
                <c:pt idx="165">
                  <c:v>2.5499999999999998</c:v>
                </c:pt>
                <c:pt idx="166">
                  <c:v>2.56</c:v>
                </c:pt>
                <c:pt idx="167">
                  <c:v>2.56</c:v>
                </c:pt>
                <c:pt idx="168">
                  <c:v>2.5499999999999998</c:v>
                </c:pt>
                <c:pt idx="169">
                  <c:v>2.5499999999999998</c:v>
                </c:pt>
                <c:pt idx="170">
                  <c:v>2.56</c:v>
                </c:pt>
                <c:pt idx="171">
                  <c:v>2.56</c:v>
                </c:pt>
                <c:pt idx="172">
                  <c:v>2.5499999999999998</c:v>
                </c:pt>
                <c:pt idx="173">
                  <c:v>2.54</c:v>
                </c:pt>
                <c:pt idx="174">
                  <c:v>2.5299999999999998</c:v>
                </c:pt>
                <c:pt idx="175">
                  <c:v>2.52</c:v>
                </c:pt>
                <c:pt idx="176">
                  <c:v>2.52</c:v>
                </c:pt>
                <c:pt idx="177">
                  <c:v>2.5099999999999998</c:v>
                </c:pt>
                <c:pt idx="178">
                  <c:v>2.5099999999999998</c:v>
                </c:pt>
                <c:pt idx="179">
                  <c:v>2.5099999999999998</c:v>
                </c:pt>
                <c:pt idx="180">
                  <c:v>2.5099999999999998</c:v>
                </c:pt>
                <c:pt idx="181">
                  <c:v>2.5099999999999998</c:v>
                </c:pt>
                <c:pt idx="182">
                  <c:v>2.5099999999999998</c:v>
                </c:pt>
                <c:pt idx="183">
                  <c:v>2.46</c:v>
                </c:pt>
                <c:pt idx="184">
                  <c:v>2.0499999999999998</c:v>
                </c:pt>
                <c:pt idx="185">
                  <c:v>2.38</c:v>
                </c:pt>
                <c:pt idx="186">
                  <c:v>1.92</c:v>
                </c:pt>
                <c:pt idx="187">
                  <c:v>1.74</c:v>
                </c:pt>
                <c:pt idx="188">
                  <c:v>2.52</c:v>
                </c:pt>
                <c:pt idx="189">
                  <c:v>2.52</c:v>
                </c:pt>
                <c:pt idx="190">
                  <c:v>2.52</c:v>
                </c:pt>
                <c:pt idx="191">
                  <c:v>2.52</c:v>
                </c:pt>
                <c:pt idx="192">
                  <c:v>2.63</c:v>
                </c:pt>
                <c:pt idx="193">
                  <c:v>2.57</c:v>
                </c:pt>
                <c:pt idx="194">
                  <c:v>2.6</c:v>
                </c:pt>
                <c:pt idx="195">
                  <c:v>2.62</c:v>
                </c:pt>
                <c:pt idx="196">
                  <c:v>2.64</c:v>
                </c:pt>
                <c:pt idx="197">
                  <c:v>2.66</c:v>
                </c:pt>
                <c:pt idx="198">
                  <c:v>2.5299999999999998</c:v>
                </c:pt>
                <c:pt idx="199">
                  <c:v>2.5299999999999998</c:v>
                </c:pt>
                <c:pt idx="200">
                  <c:v>2.5499999999999998</c:v>
                </c:pt>
                <c:pt idx="201">
                  <c:v>2.58</c:v>
                </c:pt>
                <c:pt idx="202">
                  <c:v>2.6</c:v>
                </c:pt>
                <c:pt idx="203">
                  <c:v>2.6</c:v>
                </c:pt>
                <c:pt idx="204">
                  <c:v>2.56</c:v>
                </c:pt>
                <c:pt idx="205">
                  <c:v>2.11</c:v>
                </c:pt>
                <c:pt idx="206">
                  <c:v>2.09</c:v>
                </c:pt>
                <c:pt idx="207">
                  <c:v>1.93</c:v>
                </c:pt>
                <c:pt idx="208">
                  <c:v>1.76</c:v>
                </c:pt>
                <c:pt idx="209">
                  <c:v>2.59</c:v>
                </c:pt>
                <c:pt idx="210">
                  <c:v>2.8</c:v>
                </c:pt>
                <c:pt idx="211">
                  <c:v>2.77</c:v>
                </c:pt>
                <c:pt idx="212">
                  <c:v>2.65</c:v>
                </c:pt>
                <c:pt idx="213">
                  <c:v>2.8</c:v>
                </c:pt>
                <c:pt idx="214">
                  <c:v>2.78</c:v>
                </c:pt>
                <c:pt idx="215">
                  <c:v>2.87</c:v>
                </c:pt>
                <c:pt idx="216">
                  <c:v>2.98</c:v>
                </c:pt>
                <c:pt idx="217">
                  <c:v>2.91</c:v>
                </c:pt>
                <c:pt idx="218">
                  <c:v>2.95</c:v>
                </c:pt>
                <c:pt idx="219">
                  <c:v>2.91</c:v>
                </c:pt>
                <c:pt idx="220">
                  <c:v>2.91</c:v>
                </c:pt>
                <c:pt idx="221">
                  <c:v>2.91</c:v>
                </c:pt>
                <c:pt idx="222">
                  <c:v>2.92</c:v>
                </c:pt>
                <c:pt idx="223">
                  <c:v>2.97</c:v>
                </c:pt>
                <c:pt idx="224">
                  <c:v>3.01</c:v>
                </c:pt>
                <c:pt idx="225">
                  <c:v>3.01</c:v>
                </c:pt>
                <c:pt idx="226">
                  <c:v>2.9</c:v>
                </c:pt>
                <c:pt idx="227">
                  <c:v>2.66</c:v>
                </c:pt>
                <c:pt idx="228">
                  <c:v>2.74</c:v>
                </c:pt>
                <c:pt idx="229">
                  <c:v>2.72</c:v>
                </c:pt>
                <c:pt idx="230">
                  <c:v>3.11</c:v>
                </c:pt>
                <c:pt idx="231">
                  <c:v>3.04</c:v>
                </c:pt>
                <c:pt idx="232">
                  <c:v>3.05</c:v>
                </c:pt>
                <c:pt idx="233">
                  <c:v>3.04</c:v>
                </c:pt>
                <c:pt idx="234">
                  <c:v>3.04</c:v>
                </c:pt>
                <c:pt idx="235">
                  <c:v>3.15</c:v>
                </c:pt>
                <c:pt idx="236">
                  <c:v>3.07</c:v>
                </c:pt>
                <c:pt idx="237">
                  <c:v>3.05</c:v>
                </c:pt>
                <c:pt idx="238">
                  <c:v>3.04</c:v>
                </c:pt>
                <c:pt idx="239">
                  <c:v>3.04</c:v>
                </c:pt>
                <c:pt idx="240">
                  <c:v>3.07</c:v>
                </c:pt>
                <c:pt idx="241">
                  <c:v>3.04</c:v>
                </c:pt>
                <c:pt idx="242">
                  <c:v>3.02</c:v>
                </c:pt>
                <c:pt idx="243">
                  <c:v>3</c:v>
                </c:pt>
                <c:pt idx="244">
                  <c:v>2.97</c:v>
                </c:pt>
                <c:pt idx="245">
                  <c:v>2.97</c:v>
                </c:pt>
                <c:pt idx="246">
                  <c:v>3.02</c:v>
                </c:pt>
                <c:pt idx="247">
                  <c:v>3.04</c:v>
                </c:pt>
                <c:pt idx="248">
                  <c:v>3.04</c:v>
                </c:pt>
                <c:pt idx="249">
                  <c:v>2.98</c:v>
                </c:pt>
                <c:pt idx="250">
                  <c:v>2.86</c:v>
                </c:pt>
                <c:pt idx="251">
                  <c:v>2.82</c:v>
                </c:pt>
                <c:pt idx="252">
                  <c:v>2.91</c:v>
                </c:pt>
                <c:pt idx="253">
                  <c:v>3.07</c:v>
                </c:pt>
                <c:pt idx="254">
                  <c:v>3.07</c:v>
                </c:pt>
                <c:pt idx="255">
                  <c:v>3.05</c:v>
                </c:pt>
                <c:pt idx="256">
                  <c:v>3.04</c:v>
                </c:pt>
                <c:pt idx="257">
                  <c:v>3.75</c:v>
                </c:pt>
                <c:pt idx="258">
                  <c:v>3.06</c:v>
                </c:pt>
                <c:pt idx="259">
                  <c:v>3.01</c:v>
                </c:pt>
                <c:pt idx="260">
                  <c:v>2.99</c:v>
                </c:pt>
                <c:pt idx="261">
                  <c:v>2.92</c:v>
                </c:pt>
                <c:pt idx="262">
                  <c:v>2.89</c:v>
                </c:pt>
                <c:pt idx="263">
                  <c:v>2.98</c:v>
                </c:pt>
                <c:pt idx="264">
                  <c:v>3.01</c:v>
                </c:pt>
                <c:pt idx="265">
                  <c:v>3.07</c:v>
                </c:pt>
                <c:pt idx="266">
                  <c:v>3.04</c:v>
                </c:pt>
                <c:pt idx="267">
                  <c:v>3.03</c:v>
                </c:pt>
                <c:pt idx="268">
                  <c:v>3.02</c:v>
                </c:pt>
                <c:pt idx="269">
                  <c:v>2.98</c:v>
                </c:pt>
                <c:pt idx="270">
                  <c:v>2.85</c:v>
                </c:pt>
                <c:pt idx="271">
                  <c:v>2.95</c:v>
                </c:pt>
                <c:pt idx="272">
                  <c:v>3.15</c:v>
                </c:pt>
                <c:pt idx="273">
                  <c:v>3.11</c:v>
                </c:pt>
                <c:pt idx="274">
                  <c:v>3.09</c:v>
                </c:pt>
                <c:pt idx="275">
                  <c:v>3.06</c:v>
                </c:pt>
                <c:pt idx="276">
                  <c:v>3.1</c:v>
                </c:pt>
                <c:pt idx="277">
                  <c:v>3.3</c:v>
                </c:pt>
                <c:pt idx="278">
                  <c:v>3.29</c:v>
                </c:pt>
                <c:pt idx="279">
                  <c:v>3.26</c:v>
                </c:pt>
                <c:pt idx="280">
                  <c:v>3.18</c:v>
                </c:pt>
                <c:pt idx="281">
                  <c:v>3.19</c:v>
                </c:pt>
                <c:pt idx="282">
                  <c:v>3.26</c:v>
                </c:pt>
                <c:pt idx="283">
                  <c:v>3.25</c:v>
                </c:pt>
                <c:pt idx="284">
                  <c:v>3.25</c:v>
                </c:pt>
                <c:pt idx="285">
                  <c:v>3.24</c:v>
                </c:pt>
                <c:pt idx="286">
                  <c:v>3.24</c:v>
                </c:pt>
                <c:pt idx="287">
                  <c:v>3.25</c:v>
                </c:pt>
                <c:pt idx="288">
                  <c:v>3.25</c:v>
                </c:pt>
                <c:pt idx="289">
                  <c:v>3.25</c:v>
                </c:pt>
                <c:pt idx="290">
                  <c:v>3.25</c:v>
                </c:pt>
                <c:pt idx="291">
                  <c:v>3.23</c:v>
                </c:pt>
                <c:pt idx="292">
                  <c:v>3.2</c:v>
                </c:pt>
                <c:pt idx="293">
                  <c:v>3.2</c:v>
                </c:pt>
                <c:pt idx="294">
                  <c:v>3.22</c:v>
                </c:pt>
                <c:pt idx="295">
                  <c:v>3.48</c:v>
                </c:pt>
                <c:pt idx="296">
                  <c:v>3.41</c:v>
                </c:pt>
                <c:pt idx="297">
                  <c:v>3.34</c:v>
                </c:pt>
                <c:pt idx="298">
                  <c:v>3.37</c:v>
                </c:pt>
                <c:pt idx="299">
                  <c:v>3.47</c:v>
                </c:pt>
                <c:pt idx="300">
                  <c:v>3.37</c:v>
                </c:pt>
                <c:pt idx="301">
                  <c:v>3.33</c:v>
                </c:pt>
                <c:pt idx="302">
                  <c:v>3.28</c:v>
                </c:pt>
                <c:pt idx="303">
                  <c:v>3.29</c:v>
                </c:pt>
                <c:pt idx="304">
                  <c:v>3.31</c:v>
                </c:pt>
                <c:pt idx="305">
                  <c:v>3.35</c:v>
                </c:pt>
                <c:pt idx="306">
                  <c:v>3.47</c:v>
                </c:pt>
                <c:pt idx="307">
                  <c:v>3.52</c:v>
                </c:pt>
                <c:pt idx="308">
                  <c:v>3.54</c:v>
                </c:pt>
                <c:pt idx="309">
                  <c:v>3.53</c:v>
                </c:pt>
                <c:pt idx="310">
                  <c:v>3.5</c:v>
                </c:pt>
                <c:pt idx="311">
                  <c:v>3.49</c:v>
                </c:pt>
                <c:pt idx="312">
                  <c:v>3.49</c:v>
                </c:pt>
                <c:pt idx="313">
                  <c:v>3.48</c:v>
                </c:pt>
                <c:pt idx="314">
                  <c:v>3.49</c:v>
                </c:pt>
                <c:pt idx="315">
                  <c:v>3.58</c:v>
                </c:pt>
                <c:pt idx="316">
                  <c:v>3.86</c:v>
                </c:pt>
                <c:pt idx="317">
                  <c:v>3.59</c:v>
                </c:pt>
                <c:pt idx="318">
                  <c:v>3.6</c:v>
                </c:pt>
                <c:pt idx="319">
                  <c:v>3.6</c:v>
                </c:pt>
                <c:pt idx="320">
                  <c:v>3.62</c:v>
                </c:pt>
                <c:pt idx="321">
                  <c:v>3.7</c:v>
                </c:pt>
                <c:pt idx="322">
                  <c:v>3.75</c:v>
                </c:pt>
                <c:pt idx="323">
                  <c:v>3.6</c:v>
                </c:pt>
                <c:pt idx="324">
                  <c:v>3.6</c:v>
                </c:pt>
                <c:pt idx="325">
                  <c:v>3.58</c:v>
                </c:pt>
                <c:pt idx="326">
                  <c:v>3.58</c:v>
                </c:pt>
                <c:pt idx="327">
                  <c:v>3.58</c:v>
                </c:pt>
                <c:pt idx="328">
                  <c:v>3.59</c:v>
                </c:pt>
                <c:pt idx="329">
                  <c:v>3.64</c:v>
                </c:pt>
                <c:pt idx="330">
                  <c:v>3.72</c:v>
                </c:pt>
                <c:pt idx="331">
                  <c:v>3.68</c:v>
                </c:pt>
                <c:pt idx="332">
                  <c:v>3.61</c:v>
                </c:pt>
                <c:pt idx="333">
                  <c:v>3.66</c:v>
                </c:pt>
                <c:pt idx="334">
                  <c:v>3.83</c:v>
                </c:pt>
                <c:pt idx="335">
                  <c:v>3.83</c:v>
                </c:pt>
                <c:pt idx="336">
                  <c:v>3.35</c:v>
                </c:pt>
                <c:pt idx="337">
                  <c:v>3.81</c:v>
                </c:pt>
                <c:pt idx="338">
                  <c:v>3.91</c:v>
                </c:pt>
                <c:pt idx="339">
                  <c:v>3.83</c:v>
                </c:pt>
                <c:pt idx="340">
                  <c:v>3.93</c:v>
                </c:pt>
                <c:pt idx="341">
                  <c:v>3.9</c:v>
                </c:pt>
                <c:pt idx="342">
                  <c:v>3.91</c:v>
                </c:pt>
                <c:pt idx="343">
                  <c:v>3.96</c:v>
                </c:pt>
                <c:pt idx="344">
                  <c:v>4.03</c:v>
                </c:pt>
                <c:pt idx="345">
                  <c:v>4.01</c:v>
                </c:pt>
                <c:pt idx="346">
                  <c:v>3.99</c:v>
                </c:pt>
                <c:pt idx="347">
                  <c:v>3.98</c:v>
                </c:pt>
                <c:pt idx="348">
                  <c:v>3.93</c:v>
                </c:pt>
                <c:pt idx="349">
                  <c:v>3.9</c:v>
                </c:pt>
                <c:pt idx="350">
                  <c:v>3.94</c:v>
                </c:pt>
                <c:pt idx="351">
                  <c:v>3.98</c:v>
                </c:pt>
                <c:pt idx="352">
                  <c:v>4.08</c:v>
                </c:pt>
                <c:pt idx="353">
                  <c:v>4.0199999999999996</c:v>
                </c:pt>
                <c:pt idx="354">
                  <c:v>3.79</c:v>
                </c:pt>
                <c:pt idx="355">
                  <c:v>3.49</c:v>
                </c:pt>
                <c:pt idx="356">
                  <c:v>2.9</c:v>
                </c:pt>
                <c:pt idx="357">
                  <c:v>4.0599999999999996</c:v>
                </c:pt>
                <c:pt idx="358">
                  <c:v>4.03</c:v>
                </c:pt>
                <c:pt idx="359">
                  <c:v>4.0199999999999996</c:v>
                </c:pt>
                <c:pt idx="360">
                  <c:v>4.04</c:v>
                </c:pt>
                <c:pt idx="361">
                  <c:v>4.08</c:v>
                </c:pt>
                <c:pt idx="362">
                  <c:v>4.2</c:v>
                </c:pt>
                <c:pt idx="363">
                  <c:v>4.16</c:v>
                </c:pt>
                <c:pt idx="364">
                  <c:v>4.16</c:v>
                </c:pt>
                <c:pt idx="365">
                  <c:v>4.16</c:v>
                </c:pt>
                <c:pt idx="366">
                  <c:v>4.13</c:v>
                </c:pt>
                <c:pt idx="367">
                  <c:v>4.0599999999999996</c:v>
                </c:pt>
                <c:pt idx="368">
                  <c:v>4.1500000000000004</c:v>
                </c:pt>
                <c:pt idx="369">
                  <c:v>4.33</c:v>
                </c:pt>
                <c:pt idx="370">
                  <c:v>4.3600000000000003</c:v>
                </c:pt>
                <c:pt idx="371">
                  <c:v>4.3499999999999996</c:v>
                </c:pt>
                <c:pt idx="372">
                  <c:v>4.3099999999999996</c:v>
                </c:pt>
                <c:pt idx="373">
                  <c:v>4.26</c:v>
                </c:pt>
                <c:pt idx="374">
                  <c:v>4.24</c:v>
                </c:pt>
                <c:pt idx="375">
                  <c:v>4.21</c:v>
                </c:pt>
                <c:pt idx="376">
                  <c:v>4.22</c:v>
                </c:pt>
                <c:pt idx="377">
                  <c:v>4.38</c:v>
                </c:pt>
                <c:pt idx="378">
                  <c:v>4.16</c:v>
                </c:pt>
                <c:pt idx="379">
                  <c:v>4.51</c:v>
                </c:pt>
                <c:pt idx="380">
                  <c:v>4.4400000000000004</c:v>
                </c:pt>
                <c:pt idx="381">
                  <c:v>4.43</c:v>
                </c:pt>
                <c:pt idx="382">
                  <c:v>4.38</c:v>
                </c:pt>
                <c:pt idx="383">
                  <c:v>4.33</c:v>
                </c:pt>
                <c:pt idx="384">
                  <c:v>4.75</c:v>
                </c:pt>
                <c:pt idx="385">
                  <c:v>4.33</c:v>
                </c:pt>
                <c:pt idx="386">
                  <c:v>4.32</c:v>
                </c:pt>
                <c:pt idx="387">
                  <c:v>4.32</c:v>
                </c:pt>
                <c:pt idx="388">
                  <c:v>4.32</c:v>
                </c:pt>
                <c:pt idx="389">
                  <c:v>4.3099999999999996</c:v>
                </c:pt>
                <c:pt idx="390">
                  <c:v>4.3099999999999996</c:v>
                </c:pt>
                <c:pt idx="391">
                  <c:v>4.3099999999999996</c:v>
                </c:pt>
                <c:pt idx="392">
                  <c:v>4.3099999999999996</c:v>
                </c:pt>
                <c:pt idx="393">
                  <c:v>4.3</c:v>
                </c:pt>
                <c:pt idx="394">
                  <c:v>4.3099999999999996</c:v>
                </c:pt>
                <c:pt idx="395">
                  <c:v>4.3099999999999996</c:v>
                </c:pt>
                <c:pt idx="396">
                  <c:v>4.32</c:v>
                </c:pt>
                <c:pt idx="397">
                  <c:v>4.34</c:v>
                </c:pt>
                <c:pt idx="398">
                  <c:v>4.22</c:v>
                </c:pt>
                <c:pt idx="399">
                  <c:v>3.98</c:v>
                </c:pt>
                <c:pt idx="400">
                  <c:v>4.3600000000000003</c:v>
                </c:pt>
                <c:pt idx="401">
                  <c:v>4.3499999999999996</c:v>
                </c:pt>
                <c:pt idx="402">
                  <c:v>4.33</c:v>
                </c:pt>
                <c:pt idx="403">
                  <c:v>4.33</c:v>
                </c:pt>
                <c:pt idx="404">
                  <c:v>4.3499999999999996</c:v>
                </c:pt>
                <c:pt idx="405">
                  <c:v>4.45</c:v>
                </c:pt>
                <c:pt idx="406">
                  <c:v>4.33</c:v>
                </c:pt>
                <c:pt idx="407">
                  <c:v>4.33</c:v>
                </c:pt>
                <c:pt idx="408">
                  <c:v>4.33</c:v>
                </c:pt>
                <c:pt idx="409">
                  <c:v>4.33</c:v>
                </c:pt>
                <c:pt idx="410">
                  <c:v>4.33</c:v>
                </c:pt>
                <c:pt idx="411">
                  <c:v>4.33</c:v>
                </c:pt>
                <c:pt idx="412">
                  <c:v>4.33</c:v>
                </c:pt>
                <c:pt idx="413">
                  <c:v>4.33</c:v>
                </c:pt>
                <c:pt idx="414">
                  <c:v>4.3499999999999996</c:v>
                </c:pt>
                <c:pt idx="415">
                  <c:v>4.3899999999999997</c:v>
                </c:pt>
                <c:pt idx="416">
                  <c:v>4.3899999999999997</c:v>
                </c:pt>
                <c:pt idx="417">
                  <c:v>4.38</c:v>
                </c:pt>
                <c:pt idx="418">
                  <c:v>4.3499999999999996</c:v>
                </c:pt>
                <c:pt idx="419">
                  <c:v>4.2699999999999996</c:v>
                </c:pt>
                <c:pt idx="420">
                  <c:v>4.26</c:v>
                </c:pt>
                <c:pt idx="421">
                  <c:v>4.3499999999999996</c:v>
                </c:pt>
                <c:pt idx="422">
                  <c:v>4.08</c:v>
                </c:pt>
                <c:pt idx="423">
                  <c:v>4.55</c:v>
                </c:pt>
                <c:pt idx="424">
                  <c:v>4.7300000000000004</c:v>
                </c:pt>
                <c:pt idx="425">
                  <c:v>4.76</c:v>
                </c:pt>
                <c:pt idx="426">
                  <c:v>4.74</c:v>
                </c:pt>
                <c:pt idx="427">
                  <c:v>4.7</c:v>
                </c:pt>
                <c:pt idx="428">
                  <c:v>4.7</c:v>
                </c:pt>
                <c:pt idx="429">
                  <c:v>4.5999999999999996</c:v>
                </c:pt>
                <c:pt idx="430">
                  <c:v>4.59</c:v>
                </c:pt>
                <c:pt idx="431">
                  <c:v>4.5999999999999996</c:v>
                </c:pt>
                <c:pt idx="432">
                  <c:v>4.6100000000000003</c:v>
                </c:pt>
                <c:pt idx="433">
                  <c:v>4.6399999999999997</c:v>
                </c:pt>
                <c:pt idx="434">
                  <c:v>4.6399999999999997</c:v>
                </c:pt>
                <c:pt idx="435">
                  <c:v>4.63</c:v>
                </c:pt>
                <c:pt idx="436">
                  <c:v>4.6100000000000003</c:v>
                </c:pt>
                <c:pt idx="437">
                  <c:v>4.58</c:v>
                </c:pt>
                <c:pt idx="438">
                  <c:v>4.54</c:v>
                </c:pt>
                <c:pt idx="439">
                  <c:v>4.53</c:v>
                </c:pt>
                <c:pt idx="440">
                  <c:v>4.54</c:v>
                </c:pt>
                <c:pt idx="441">
                  <c:v>4.54</c:v>
                </c:pt>
                <c:pt idx="442">
                  <c:v>4.54</c:v>
                </c:pt>
                <c:pt idx="443">
                  <c:v>4.4000000000000004</c:v>
                </c:pt>
                <c:pt idx="444">
                  <c:v>4.12</c:v>
                </c:pt>
                <c:pt idx="445">
                  <c:v>4.66</c:v>
                </c:pt>
                <c:pt idx="446">
                  <c:v>4.72</c:v>
                </c:pt>
                <c:pt idx="447">
                  <c:v>4.7</c:v>
                </c:pt>
                <c:pt idx="448">
                  <c:v>4.7</c:v>
                </c:pt>
                <c:pt idx="449">
                  <c:v>4.91</c:v>
                </c:pt>
                <c:pt idx="450">
                  <c:v>4.6900000000000004</c:v>
                </c:pt>
                <c:pt idx="451">
                  <c:v>4.6900000000000004</c:v>
                </c:pt>
                <c:pt idx="452">
                  <c:v>4.68</c:v>
                </c:pt>
                <c:pt idx="453">
                  <c:v>4.71</c:v>
                </c:pt>
                <c:pt idx="454">
                  <c:v>4.8</c:v>
                </c:pt>
                <c:pt idx="455">
                  <c:v>4.79</c:v>
                </c:pt>
                <c:pt idx="456">
                  <c:v>4.78</c:v>
                </c:pt>
                <c:pt idx="457">
                  <c:v>4.78</c:v>
                </c:pt>
                <c:pt idx="458">
                  <c:v>4.7699999999999996</c:v>
                </c:pt>
                <c:pt idx="459">
                  <c:v>4.7300000000000004</c:v>
                </c:pt>
                <c:pt idx="460">
                  <c:v>4.7300000000000004</c:v>
                </c:pt>
                <c:pt idx="461">
                  <c:v>4.7300000000000004</c:v>
                </c:pt>
                <c:pt idx="462">
                  <c:v>4.6500000000000004</c:v>
                </c:pt>
                <c:pt idx="463">
                  <c:v>4.6399999999999997</c:v>
                </c:pt>
                <c:pt idx="464">
                  <c:v>4.68</c:v>
                </c:pt>
                <c:pt idx="465">
                  <c:v>4.72</c:v>
                </c:pt>
                <c:pt idx="466">
                  <c:v>4.84</c:v>
                </c:pt>
                <c:pt idx="467">
                  <c:v>4.8499999999999996</c:v>
                </c:pt>
                <c:pt idx="468">
                  <c:v>4.8499999999999996</c:v>
                </c:pt>
                <c:pt idx="469">
                  <c:v>4.8499999999999996</c:v>
                </c:pt>
                <c:pt idx="470">
                  <c:v>4.8499999999999996</c:v>
                </c:pt>
                <c:pt idx="471">
                  <c:v>4.97</c:v>
                </c:pt>
                <c:pt idx="472">
                  <c:v>4.87</c:v>
                </c:pt>
                <c:pt idx="473">
                  <c:v>4.8600000000000003</c:v>
                </c:pt>
                <c:pt idx="474">
                  <c:v>4.8499999999999996</c:v>
                </c:pt>
                <c:pt idx="475">
                  <c:v>4.8499999999999996</c:v>
                </c:pt>
                <c:pt idx="476">
                  <c:v>4.84</c:v>
                </c:pt>
                <c:pt idx="477">
                  <c:v>4.83</c:v>
                </c:pt>
                <c:pt idx="478">
                  <c:v>4.82</c:v>
                </c:pt>
                <c:pt idx="479">
                  <c:v>4.8099999999999996</c:v>
                </c:pt>
                <c:pt idx="480">
                  <c:v>4.8099999999999996</c:v>
                </c:pt>
                <c:pt idx="481">
                  <c:v>4.8</c:v>
                </c:pt>
                <c:pt idx="482">
                  <c:v>4.79</c:v>
                </c:pt>
                <c:pt idx="483">
                  <c:v>4.7699999999999996</c:v>
                </c:pt>
                <c:pt idx="484">
                  <c:v>4.76</c:v>
                </c:pt>
                <c:pt idx="485">
                  <c:v>4.8</c:v>
                </c:pt>
                <c:pt idx="486">
                  <c:v>4.8600000000000003</c:v>
                </c:pt>
                <c:pt idx="487">
                  <c:v>4.79</c:v>
                </c:pt>
                <c:pt idx="488">
                  <c:v>4.8099999999999996</c:v>
                </c:pt>
                <c:pt idx="489">
                  <c:v>4.83</c:v>
                </c:pt>
                <c:pt idx="490">
                  <c:v>4.84</c:v>
                </c:pt>
                <c:pt idx="491">
                  <c:v>4.8499999999999996</c:v>
                </c:pt>
                <c:pt idx="492">
                  <c:v>4.8600000000000003</c:v>
                </c:pt>
                <c:pt idx="493">
                  <c:v>4.9400000000000004</c:v>
                </c:pt>
                <c:pt idx="494">
                  <c:v>4.84</c:v>
                </c:pt>
                <c:pt idx="495">
                  <c:v>4.82</c:v>
                </c:pt>
                <c:pt idx="496">
                  <c:v>4.8</c:v>
                </c:pt>
                <c:pt idx="497">
                  <c:v>4.78</c:v>
                </c:pt>
                <c:pt idx="498">
                  <c:v>4.8099999999999996</c:v>
                </c:pt>
                <c:pt idx="499">
                  <c:v>4.83</c:v>
                </c:pt>
                <c:pt idx="500">
                  <c:v>4.83</c:v>
                </c:pt>
                <c:pt idx="501">
                  <c:v>4.83</c:v>
                </c:pt>
                <c:pt idx="502">
                  <c:v>4.8099999999999996</c:v>
                </c:pt>
                <c:pt idx="503">
                  <c:v>4.79</c:v>
                </c:pt>
                <c:pt idx="504">
                  <c:v>4.78</c:v>
                </c:pt>
                <c:pt idx="505">
                  <c:v>4.79</c:v>
                </c:pt>
                <c:pt idx="506">
                  <c:v>4.78</c:v>
                </c:pt>
                <c:pt idx="507">
                  <c:v>4.74</c:v>
                </c:pt>
                <c:pt idx="508">
                  <c:v>4.7300000000000004</c:v>
                </c:pt>
                <c:pt idx="509">
                  <c:v>4.8499999999999996</c:v>
                </c:pt>
                <c:pt idx="510">
                  <c:v>4.8600000000000003</c:v>
                </c:pt>
                <c:pt idx="511">
                  <c:v>4.88</c:v>
                </c:pt>
                <c:pt idx="512">
                  <c:v>5.16</c:v>
                </c:pt>
                <c:pt idx="513">
                  <c:v>4.83</c:v>
                </c:pt>
                <c:pt idx="514">
                  <c:v>4.82</c:v>
                </c:pt>
                <c:pt idx="515">
                  <c:v>4.8099999999999996</c:v>
                </c:pt>
                <c:pt idx="516">
                  <c:v>4.78</c:v>
                </c:pt>
                <c:pt idx="517">
                  <c:v>4.7699999999999996</c:v>
                </c:pt>
                <c:pt idx="518">
                  <c:v>4.78</c:v>
                </c:pt>
                <c:pt idx="519">
                  <c:v>4.8099999999999996</c:v>
                </c:pt>
                <c:pt idx="520">
                  <c:v>4.82</c:v>
                </c:pt>
                <c:pt idx="521">
                  <c:v>4.8099999999999996</c:v>
                </c:pt>
                <c:pt idx="522">
                  <c:v>4.8099999999999996</c:v>
                </c:pt>
                <c:pt idx="523">
                  <c:v>4.8</c:v>
                </c:pt>
                <c:pt idx="524">
                  <c:v>4.78</c:v>
                </c:pt>
                <c:pt idx="525">
                  <c:v>4.7699999999999996</c:v>
                </c:pt>
                <c:pt idx="526">
                  <c:v>4.72</c:v>
                </c:pt>
                <c:pt idx="527">
                  <c:v>4.6100000000000003</c:v>
                </c:pt>
                <c:pt idx="528">
                  <c:v>4.1900000000000004</c:v>
                </c:pt>
                <c:pt idx="529">
                  <c:v>4.7699999999999996</c:v>
                </c:pt>
                <c:pt idx="530">
                  <c:v>4.78</c:v>
                </c:pt>
                <c:pt idx="531">
                  <c:v>4.78</c:v>
                </c:pt>
                <c:pt idx="532">
                  <c:v>4.79</c:v>
                </c:pt>
                <c:pt idx="533">
                  <c:v>4.78</c:v>
                </c:pt>
                <c:pt idx="534">
                  <c:v>4.82</c:v>
                </c:pt>
                <c:pt idx="535">
                  <c:v>4.7699999999999996</c:v>
                </c:pt>
                <c:pt idx="536">
                  <c:v>4.7699999999999996</c:v>
                </c:pt>
                <c:pt idx="537">
                  <c:v>4.7699999999999996</c:v>
                </c:pt>
                <c:pt idx="538">
                  <c:v>4.76</c:v>
                </c:pt>
                <c:pt idx="539">
                  <c:v>4.76</c:v>
                </c:pt>
                <c:pt idx="540">
                  <c:v>4.76</c:v>
                </c:pt>
                <c:pt idx="541">
                  <c:v>4.76</c:v>
                </c:pt>
                <c:pt idx="542">
                  <c:v>4.75</c:v>
                </c:pt>
                <c:pt idx="543">
                  <c:v>4.7699999999999996</c:v>
                </c:pt>
                <c:pt idx="544">
                  <c:v>4.87</c:v>
                </c:pt>
                <c:pt idx="545">
                  <c:v>4.9000000000000004</c:v>
                </c:pt>
                <c:pt idx="546">
                  <c:v>5.01</c:v>
                </c:pt>
                <c:pt idx="547">
                  <c:v>5.45</c:v>
                </c:pt>
                <c:pt idx="548">
                  <c:v>5.58</c:v>
                </c:pt>
                <c:pt idx="549">
                  <c:v>5.72</c:v>
                </c:pt>
                <c:pt idx="550">
                  <c:v>5.7</c:v>
                </c:pt>
                <c:pt idx="551">
                  <c:v>5.08</c:v>
                </c:pt>
                <c:pt idx="552">
                  <c:v>4.83</c:v>
                </c:pt>
                <c:pt idx="553">
                  <c:v>4.8600000000000003</c:v>
                </c:pt>
                <c:pt idx="554">
                  <c:v>4.99</c:v>
                </c:pt>
                <c:pt idx="555">
                  <c:v>4.8099999999999996</c:v>
                </c:pt>
                <c:pt idx="556">
                  <c:v>4.8099999999999996</c:v>
                </c:pt>
                <c:pt idx="557">
                  <c:v>4.8</c:v>
                </c:pt>
                <c:pt idx="558">
                  <c:v>4.8099999999999996</c:v>
                </c:pt>
                <c:pt idx="559">
                  <c:v>4.83</c:v>
                </c:pt>
                <c:pt idx="560">
                  <c:v>4.8499999999999996</c:v>
                </c:pt>
                <c:pt idx="561">
                  <c:v>4.8499999999999996</c:v>
                </c:pt>
                <c:pt idx="562">
                  <c:v>4.83</c:v>
                </c:pt>
                <c:pt idx="563">
                  <c:v>4.8099999999999996</c:v>
                </c:pt>
                <c:pt idx="564">
                  <c:v>4.79</c:v>
                </c:pt>
                <c:pt idx="565">
                  <c:v>4.78</c:v>
                </c:pt>
                <c:pt idx="566">
                  <c:v>4.78</c:v>
                </c:pt>
                <c:pt idx="567">
                  <c:v>4.79</c:v>
                </c:pt>
                <c:pt idx="568">
                  <c:v>4.82</c:v>
                </c:pt>
                <c:pt idx="569">
                  <c:v>4.83</c:v>
                </c:pt>
                <c:pt idx="570">
                  <c:v>4.6500000000000004</c:v>
                </c:pt>
                <c:pt idx="571">
                  <c:v>4.4400000000000004</c:v>
                </c:pt>
                <c:pt idx="572">
                  <c:v>4.76</c:v>
                </c:pt>
                <c:pt idx="573">
                  <c:v>4.76</c:v>
                </c:pt>
                <c:pt idx="574">
                  <c:v>4.7699999999999996</c:v>
                </c:pt>
                <c:pt idx="575">
                  <c:v>4.7699999999999996</c:v>
                </c:pt>
                <c:pt idx="576">
                  <c:v>4.8499999999999996</c:v>
                </c:pt>
                <c:pt idx="577">
                  <c:v>4.78</c:v>
                </c:pt>
                <c:pt idx="578">
                  <c:v>4.7699999999999996</c:v>
                </c:pt>
                <c:pt idx="579">
                  <c:v>4.7699999999999996</c:v>
                </c:pt>
                <c:pt idx="580">
                  <c:v>4.76</c:v>
                </c:pt>
                <c:pt idx="581">
                  <c:v>4.75</c:v>
                </c:pt>
                <c:pt idx="582">
                  <c:v>4.74</c:v>
                </c:pt>
                <c:pt idx="583">
                  <c:v>4.84</c:v>
                </c:pt>
                <c:pt idx="584">
                  <c:v>5.47</c:v>
                </c:pt>
                <c:pt idx="585">
                  <c:v>5.73</c:v>
                </c:pt>
                <c:pt idx="586">
                  <c:v>5.75</c:v>
                </c:pt>
                <c:pt idx="587">
                  <c:v>5.56</c:v>
                </c:pt>
                <c:pt idx="588">
                  <c:v>5.43</c:v>
                </c:pt>
                <c:pt idx="589">
                  <c:v>5.5</c:v>
                </c:pt>
                <c:pt idx="590">
                  <c:v>5.23</c:v>
                </c:pt>
                <c:pt idx="591">
                  <c:v>4.79</c:v>
                </c:pt>
                <c:pt idx="592">
                  <c:v>4.8</c:v>
                </c:pt>
                <c:pt idx="593">
                  <c:v>4.8099999999999996</c:v>
                </c:pt>
                <c:pt idx="594">
                  <c:v>4.8099999999999996</c:v>
                </c:pt>
                <c:pt idx="595">
                  <c:v>4.93</c:v>
                </c:pt>
                <c:pt idx="596">
                  <c:v>4.83</c:v>
                </c:pt>
                <c:pt idx="597">
                  <c:v>4.82</c:v>
                </c:pt>
                <c:pt idx="598">
                  <c:v>4.8099999999999996</c:v>
                </c:pt>
                <c:pt idx="599">
                  <c:v>4.8099999999999996</c:v>
                </c:pt>
                <c:pt idx="600">
                  <c:v>4.8099999999999996</c:v>
                </c:pt>
                <c:pt idx="601">
                  <c:v>4.8</c:v>
                </c:pt>
                <c:pt idx="602">
                  <c:v>4.75</c:v>
                </c:pt>
                <c:pt idx="603">
                  <c:v>4.58</c:v>
                </c:pt>
                <c:pt idx="604">
                  <c:v>4.57</c:v>
                </c:pt>
                <c:pt idx="605">
                  <c:v>4.57</c:v>
                </c:pt>
                <c:pt idx="606">
                  <c:v>4.5599999999999996</c:v>
                </c:pt>
                <c:pt idx="607">
                  <c:v>4.5599999999999996</c:v>
                </c:pt>
                <c:pt idx="608">
                  <c:v>4.54</c:v>
                </c:pt>
                <c:pt idx="609">
                  <c:v>4.53</c:v>
                </c:pt>
                <c:pt idx="610">
                  <c:v>4.49</c:v>
                </c:pt>
                <c:pt idx="611">
                  <c:v>4.8600000000000003</c:v>
                </c:pt>
                <c:pt idx="612">
                  <c:v>4.59</c:v>
                </c:pt>
                <c:pt idx="613">
                  <c:v>4.59</c:v>
                </c:pt>
                <c:pt idx="614">
                  <c:v>4.58</c:v>
                </c:pt>
                <c:pt idx="615">
                  <c:v>4.57</c:v>
                </c:pt>
                <c:pt idx="616">
                  <c:v>4.5599999999999996</c:v>
                </c:pt>
                <c:pt idx="617">
                  <c:v>4.5999999999999996</c:v>
                </c:pt>
                <c:pt idx="618">
                  <c:v>4.54</c:v>
                </c:pt>
                <c:pt idx="619">
                  <c:v>4.53</c:v>
                </c:pt>
                <c:pt idx="620">
                  <c:v>4.53</c:v>
                </c:pt>
                <c:pt idx="621">
                  <c:v>4.5199999999999996</c:v>
                </c:pt>
                <c:pt idx="622">
                  <c:v>4.5199999999999996</c:v>
                </c:pt>
                <c:pt idx="623">
                  <c:v>4.53</c:v>
                </c:pt>
                <c:pt idx="624">
                  <c:v>4.53</c:v>
                </c:pt>
                <c:pt idx="625">
                  <c:v>4.53</c:v>
                </c:pt>
                <c:pt idx="626">
                  <c:v>4.53</c:v>
                </c:pt>
                <c:pt idx="627">
                  <c:v>4.5199999999999996</c:v>
                </c:pt>
                <c:pt idx="628">
                  <c:v>4.5199999999999996</c:v>
                </c:pt>
                <c:pt idx="629">
                  <c:v>4.53</c:v>
                </c:pt>
                <c:pt idx="630">
                  <c:v>4.5199999999999996</c:v>
                </c:pt>
                <c:pt idx="631">
                  <c:v>4.5199999999999996</c:v>
                </c:pt>
                <c:pt idx="632">
                  <c:v>4.42</c:v>
                </c:pt>
                <c:pt idx="633">
                  <c:v>4.6100000000000003</c:v>
                </c:pt>
                <c:pt idx="634">
                  <c:v>4.55</c:v>
                </c:pt>
                <c:pt idx="635">
                  <c:v>4.55</c:v>
                </c:pt>
                <c:pt idx="636">
                  <c:v>4.5599999999999996</c:v>
                </c:pt>
                <c:pt idx="637">
                  <c:v>4.55</c:v>
                </c:pt>
                <c:pt idx="638">
                  <c:v>4.72</c:v>
                </c:pt>
                <c:pt idx="639">
                  <c:v>4.54</c:v>
                </c:pt>
                <c:pt idx="640">
                  <c:v>4.53</c:v>
                </c:pt>
                <c:pt idx="641">
                  <c:v>4.53</c:v>
                </c:pt>
                <c:pt idx="642">
                  <c:v>4.53</c:v>
                </c:pt>
                <c:pt idx="643">
                  <c:v>4.53</c:v>
                </c:pt>
                <c:pt idx="644">
                  <c:v>4.5199999999999996</c:v>
                </c:pt>
                <c:pt idx="645">
                  <c:v>4.5199999999999996</c:v>
                </c:pt>
                <c:pt idx="646">
                  <c:v>4.5199999999999996</c:v>
                </c:pt>
                <c:pt idx="647">
                  <c:v>4.5199999999999996</c:v>
                </c:pt>
                <c:pt idx="648">
                  <c:v>4.5199999999999996</c:v>
                </c:pt>
                <c:pt idx="649">
                  <c:v>4.5199999999999996</c:v>
                </c:pt>
                <c:pt idx="650">
                  <c:v>4.51</c:v>
                </c:pt>
                <c:pt idx="651">
                  <c:v>4.51</c:v>
                </c:pt>
                <c:pt idx="652">
                  <c:v>4.41</c:v>
                </c:pt>
                <c:pt idx="653">
                  <c:v>4.33</c:v>
                </c:pt>
                <c:pt idx="654">
                  <c:v>4.4000000000000004</c:v>
                </c:pt>
                <c:pt idx="655">
                  <c:v>4.5199999999999996</c:v>
                </c:pt>
                <c:pt idx="656">
                  <c:v>4.5199999999999996</c:v>
                </c:pt>
                <c:pt idx="657">
                  <c:v>4.5199999999999996</c:v>
                </c:pt>
                <c:pt idx="658">
                  <c:v>4.5199999999999996</c:v>
                </c:pt>
                <c:pt idx="659">
                  <c:v>4.5199999999999996</c:v>
                </c:pt>
                <c:pt idx="660">
                  <c:v>4.58</c:v>
                </c:pt>
                <c:pt idx="661">
                  <c:v>4.51</c:v>
                </c:pt>
                <c:pt idx="662">
                  <c:v>4.5</c:v>
                </c:pt>
                <c:pt idx="663">
                  <c:v>4.5199999999999996</c:v>
                </c:pt>
                <c:pt idx="664">
                  <c:v>4.5199999999999996</c:v>
                </c:pt>
                <c:pt idx="665">
                  <c:v>4.5199999999999996</c:v>
                </c:pt>
                <c:pt idx="666">
                  <c:v>4.5199999999999996</c:v>
                </c:pt>
                <c:pt idx="667">
                  <c:v>4.5199999999999996</c:v>
                </c:pt>
                <c:pt idx="668">
                  <c:v>4.5199999999999996</c:v>
                </c:pt>
                <c:pt idx="669">
                  <c:v>4.51</c:v>
                </c:pt>
                <c:pt idx="670">
                  <c:v>4.51</c:v>
                </c:pt>
                <c:pt idx="671">
                  <c:v>4.51</c:v>
                </c:pt>
                <c:pt idx="672">
                  <c:v>4.51</c:v>
                </c:pt>
                <c:pt idx="673">
                  <c:v>4.51</c:v>
                </c:pt>
                <c:pt idx="674">
                  <c:v>4.51</c:v>
                </c:pt>
                <c:pt idx="675">
                  <c:v>4.51</c:v>
                </c:pt>
                <c:pt idx="676">
                  <c:v>4.4400000000000004</c:v>
                </c:pt>
                <c:pt idx="677">
                  <c:v>4.5</c:v>
                </c:pt>
                <c:pt idx="678">
                  <c:v>4.51</c:v>
                </c:pt>
                <c:pt idx="679">
                  <c:v>4.49</c:v>
                </c:pt>
                <c:pt idx="680">
                  <c:v>4.49</c:v>
                </c:pt>
                <c:pt idx="681">
                  <c:v>4.42</c:v>
                </c:pt>
                <c:pt idx="682">
                  <c:v>4.37</c:v>
                </c:pt>
                <c:pt idx="683">
                  <c:v>4.38</c:v>
                </c:pt>
                <c:pt idx="684">
                  <c:v>4.3</c:v>
                </c:pt>
                <c:pt idx="685">
                  <c:v>4.3</c:v>
                </c:pt>
                <c:pt idx="686">
                  <c:v>4.29</c:v>
                </c:pt>
                <c:pt idx="687">
                  <c:v>4.29</c:v>
                </c:pt>
                <c:pt idx="688">
                  <c:v>4.28</c:v>
                </c:pt>
                <c:pt idx="689">
                  <c:v>4.28</c:v>
                </c:pt>
                <c:pt idx="690">
                  <c:v>4.29</c:v>
                </c:pt>
                <c:pt idx="691">
                  <c:v>4.42</c:v>
                </c:pt>
                <c:pt idx="692">
                  <c:v>4.28</c:v>
                </c:pt>
                <c:pt idx="693">
                  <c:v>4.2300000000000004</c:v>
                </c:pt>
                <c:pt idx="694">
                  <c:v>4.2300000000000004</c:v>
                </c:pt>
                <c:pt idx="695">
                  <c:v>3.76</c:v>
                </c:pt>
                <c:pt idx="696">
                  <c:v>3.56</c:v>
                </c:pt>
                <c:pt idx="697">
                  <c:v>3.13</c:v>
                </c:pt>
                <c:pt idx="698">
                  <c:v>3.12</c:v>
                </c:pt>
                <c:pt idx="699">
                  <c:v>3.78</c:v>
                </c:pt>
                <c:pt idx="700">
                  <c:v>3.79</c:v>
                </c:pt>
                <c:pt idx="701">
                  <c:v>3.79</c:v>
                </c:pt>
                <c:pt idx="702">
                  <c:v>3.78</c:v>
                </c:pt>
                <c:pt idx="703">
                  <c:v>3.83</c:v>
                </c:pt>
                <c:pt idx="704">
                  <c:v>3.77</c:v>
                </c:pt>
                <c:pt idx="705">
                  <c:v>3.76</c:v>
                </c:pt>
                <c:pt idx="706">
                  <c:v>3.75</c:v>
                </c:pt>
                <c:pt idx="707">
                  <c:v>3.74</c:v>
                </c:pt>
                <c:pt idx="708">
                  <c:v>3.72</c:v>
                </c:pt>
                <c:pt idx="709">
                  <c:v>3.72</c:v>
                </c:pt>
                <c:pt idx="710">
                  <c:v>3.83</c:v>
                </c:pt>
                <c:pt idx="711">
                  <c:v>3.94</c:v>
                </c:pt>
                <c:pt idx="712">
                  <c:v>3.96</c:v>
                </c:pt>
                <c:pt idx="713">
                  <c:v>3.98</c:v>
                </c:pt>
                <c:pt idx="714">
                  <c:v>3.87</c:v>
                </c:pt>
                <c:pt idx="715">
                  <c:v>3.91</c:v>
                </c:pt>
                <c:pt idx="716">
                  <c:v>4.33</c:v>
                </c:pt>
                <c:pt idx="717">
                  <c:v>4.4000000000000004</c:v>
                </c:pt>
                <c:pt idx="718">
                  <c:v>4.5999999999999996</c:v>
                </c:pt>
                <c:pt idx="719">
                  <c:v>4.6900000000000004</c:v>
                </c:pt>
                <c:pt idx="720">
                  <c:v>4.74</c:v>
                </c:pt>
                <c:pt idx="721">
                  <c:v>3.76</c:v>
                </c:pt>
                <c:pt idx="722">
                  <c:v>3.74</c:v>
                </c:pt>
                <c:pt idx="723">
                  <c:v>3.77</c:v>
                </c:pt>
                <c:pt idx="724">
                  <c:v>3.76</c:v>
                </c:pt>
                <c:pt idx="725">
                  <c:v>3.76</c:v>
                </c:pt>
                <c:pt idx="726">
                  <c:v>3.84</c:v>
                </c:pt>
                <c:pt idx="727">
                  <c:v>3.77</c:v>
                </c:pt>
                <c:pt idx="728">
                  <c:v>3.76</c:v>
                </c:pt>
                <c:pt idx="729">
                  <c:v>3.76</c:v>
                </c:pt>
                <c:pt idx="730">
                  <c:v>3.85</c:v>
                </c:pt>
                <c:pt idx="731">
                  <c:v>3.88</c:v>
                </c:pt>
                <c:pt idx="732">
                  <c:v>3.73</c:v>
                </c:pt>
                <c:pt idx="733">
                  <c:v>3.86</c:v>
                </c:pt>
                <c:pt idx="734">
                  <c:v>3.83</c:v>
                </c:pt>
                <c:pt idx="735">
                  <c:v>3.68</c:v>
                </c:pt>
                <c:pt idx="736">
                  <c:v>3.37</c:v>
                </c:pt>
                <c:pt idx="737">
                  <c:v>3.3</c:v>
                </c:pt>
                <c:pt idx="738">
                  <c:v>3.29</c:v>
                </c:pt>
                <c:pt idx="739">
                  <c:v>3.25</c:v>
                </c:pt>
                <c:pt idx="740">
                  <c:v>3.25</c:v>
                </c:pt>
                <c:pt idx="741">
                  <c:v>3.35</c:v>
                </c:pt>
                <c:pt idx="742">
                  <c:v>3.4</c:v>
                </c:pt>
                <c:pt idx="743">
                  <c:v>3.28</c:v>
                </c:pt>
                <c:pt idx="744">
                  <c:v>3.3</c:v>
                </c:pt>
                <c:pt idx="745">
                  <c:v>3.3</c:v>
                </c:pt>
                <c:pt idx="746">
                  <c:v>3.3</c:v>
                </c:pt>
                <c:pt idx="747">
                  <c:v>3.3</c:v>
                </c:pt>
                <c:pt idx="748">
                  <c:v>3.35</c:v>
                </c:pt>
                <c:pt idx="749">
                  <c:v>3.29</c:v>
                </c:pt>
                <c:pt idx="750">
                  <c:v>3.28</c:v>
                </c:pt>
                <c:pt idx="751">
                  <c:v>3.26</c:v>
                </c:pt>
                <c:pt idx="752">
                  <c:v>3.26</c:v>
                </c:pt>
                <c:pt idx="753">
                  <c:v>3.27</c:v>
                </c:pt>
                <c:pt idx="754">
                  <c:v>3.28</c:v>
                </c:pt>
                <c:pt idx="755">
                  <c:v>3.29</c:v>
                </c:pt>
                <c:pt idx="756">
                  <c:v>3.29</c:v>
                </c:pt>
                <c:pt idx="757">
                  <c:v>3.3</c:v>
                </c:pt>
                <c:pt idx="758">
                  <c:v>3.3</c:v>
                </c:pt>
                <c:pt idx="759">
                  <c:v>3.3</c:v>
                </c:pt>
                <c:pt idx="760">
                  <c:v>3.31</c:v>
                </c:pt>
                <c:pt idx="761">
                  <c:v>3.32</c:v>
                </c:pt>
                <c:pt idx="762">
                  <c:v>3.27</c:v>
                </c:pt>
                <c:pt idx="763">
                  <c:v>3.05</c:v>
                </c:pt>
                <c:pt idx="764">
                  <c:v>3.43</c:v>
                </c:pt>
                <c:pt idx="765">
                  <c:v>3.69</c:v>
                </c:pt>
                <c:pt idx="766">
                  <c:v>3.91</c:v>
                </c:pt>
                <c:pt idx="767">
                  <c:v>3.35</c:v>
                </c:pt>
                <c:pt idx="768">
                  <c:v>3.45</c:v>
                </c:pt>
                <c:pt idx="769">
                  <c:v>3.45</c:v>
                </c:pt>
                <c:pt idx="770">
                  <c:v>3.38</c:v>
                </c:pt>
                <c:pt idx="771">
                  <c:v>3.35</c:v>
                </c:pt>
                <c:pt idx="772">
                  <c:v>3.34</c:v>
                </c:pt>
                <c:pt idx="773">
                  <c:v>3.34</c:v>
                </c:pt>
                <c:pt idx="774">
                  <c:v>3.34</c:v>
                </c:pt>
                <c:pt idx="775">
                  <c:v>3.33</c:v>
                </c:pt>
                <c:pt idx="776">
                  <c:v>3.32</c:v>
                </c:pt>
                <c:pt idx="777">
                  <c:v>3.33</c:v>
                </c:pt>
                <c:pt idx="778">
                  <c:v>3.32</c:v>
                </c:pt>
                <c:pt idx="779">
                  <c:v>3.31</c:v>
                </c:pt>
                <c:pt idx="780">
                  <c:v>3.3</c:v>
                </c:pt>
                <c:pt idx="781">
                  <c:v>3.03</c:v>
                </c:pt>
                <c:pt idx="782">
                  <c:v>2.59</c:v>
                </c:pt>
                <c:pt idx="783">
                  <c:v>3.31</c:v>
                </c:pt>
                <c:pt idx="784">
                  <c:v>3.31</c:v>
                </c:pt>
                <c:pt idx="785">
                  <c:v>3.32</c:v>
                </c:pt>
                <c:pt idx="786">
                  <c:v>3.32</c:v>
                </c:pt>
                <c:pt idx="787">
                  <c:v>3.32</c:v>
                </c:pt>
                <c:pt idx="788">
                  <c:v>3.35</c:v>
                </c:pt>
                <c:pt idx="789">
                  <c:v>3.32</c:v>
                </c:pt>
                <c:pt idx="790">
                  <c:v>3.31</c:v>
                </c:pt>
                <c:pt idx="791">
                  <c:v>3.3</c:v>
                </c:pt>
                <c:pt idx="792">
                  <c:v>3.3</c:v>
                </c:pt>
                <c:pt idx="793">
                  <c:v>3.3</c:v>
                </c:pt>
                <c:pt idx="794">
                  <c:v>3.3</c:v>
                </c:pt>
                <c:pt idx="795">
                  <c:v>3.3</c:v>
                </c:pt>
                <c:pt idx="796">
                  <c:v>3.3</c:v>
                </c:pt>
                <c:pt idx="797">
                  <c:v>3.3</c:v>
                </c:pt>
                <c:pt idx="798">
                  <c:v>3.29</c:v>
                </c:pt>
                <c:pt idx="799">
                  <c:v>3.29</c:v>
                </c:pt>
                <c:pt idx="800">
                  <c:v>3.28</c:v>
                </c:pt>
                <c:pt idx="801">
                  <c:v>3.27</c:v>
                </c:pt>
                <c:pt idx="802">
                  <c:v>3.21</c:v>
                </c:pt>
                <c:pt idx="803">
                  <c:v>3.08</c:v>
                </c:pt>
                <c:pt idx="804">
                  <c:v>3.22</c:v>
                </c:pt>
                <c:pt idx="805">
                  <c:v>3.31</c:v>
                </c:pt>
                <c:pt idx="806">
                  <c:v>3.32</c:v>
                </c:pt>
                <c:pt idx="807">
                  <c:v>3.32</c:v>
                </c:pt>
                <c:pt idx="808">
                  <c:v>3.34</c:v>
                </c:pt>
                <c:pt idx="809">
                  <c:v>3.31</c:v>
                </c:pt>
                <c:pt idx="810">
                  <c:v>3.3</c:v>
                </c:pt>
                <c:pt idx="811">
                  <c:v>3.29</c:v>
                </c:pt>
                <c:pt idx="812">
                  <c:v>3.28</c:v>
                </c:pt>
                <c:pt idx="813">
                  <c:v>3.28</c:v>
                </c:pt>
                <c:pt idx="814">
                  <c:v>3.28</c:v>
                </c:pt>
                <c:pt idx="815">
                  <c:v>3.28</c:v>
                </c:pt>
                <c:pt idx="816">
                  <c:v>3.28</c:v>
                </c:pt>
                <c:pt idx="817">
                  <c:v>3.28</c:v>
                </c:pt>
                <c:pt idx="818">
                  <c:v>3.27</c:v>
                </c:pt>
                <c:pt idx="819">
                  <c:v>3.25</c:v>
                </c:pt>
                <c:pt idx="820">
                  <c:v>3.23</c:v>
                </c:pt>
                <c:pt idx="821">
                  <c:v>3.19</c:v>
                </c:pt>
                <c:pt idx="822">
                  <c:v>3.12</c:v>
                </c:pt>
                <c:pt idx="823">
                  <c:v>2.99</c:v>
                </c:pt>
                <c:pt idx="824">
                  <c:v>3.26</c:v>
                </c:pt>
                <c:pt idx="825">
                  <c:v>3.33</c:v>
                </c:pt>
                <c:pt idx="826">
                  <c:v>3.34</c:v>
                </c:pt>
                <c:pt idx="827">
                  <c:v>3.33</c:v>
                </c:pt>
                <c:pt idx="828">
                  <c:v>3.39</c:v>
                </c:pt>
                <c:pt idx="829">
                  <c:v>3.31</c:v>
                </c:pt>
                <c:pt idx="830">
                  <c:v>3.3</c:v>
                </c:pt>
                <c:pt idx="831">
                  <c:v>3.3</c:v>
                </c:pt>
                <c:pt idx="832">
                  <c:v>3.3</c:v>
                </c:pt>
                <c:pt idx="833">
                  <c:v>3.29</c:v>
                </c:pt>
                <c:pt idx="834">
                  <c:v>3.29</c:v>
                </c:pt>
                <c:pt idx="835">
                  <c:v>3.29</c:v>
                </c:pt>
                <c:pt idx="836">
                  <c:v>3.29</c:v>
                </c:pt>
                <c:pt idx="837">
                  <c:v>3.28</c:v>
                </c:pt>
                <c:pt idx="838">
                  <c:v>3.27</c:v>
                </c:pt>
                <c:pt idx="839">
                  <c:v>3.26</c:v>
                </c:pt>
                <c:pt idx="840">
                  <c:v>3.2</c:v>
                </c:pt>
                <c:pt idx="841">
                  <c:v>3.19</c:v>
                </c:pt>
                <c:pt idx="842">
                  <c:v>3.27</c:v>
                </c:pt>
                <c:pt idx="843">
                  <c:v>3.33</c:v>
                </c:pt>
                <c:pt idx="844">
                  <c:v>3.9</c:v>
                </c:pt>
                <c:pt idx="845">
                  <c:v>3.31</c:v>
                </c:pt>
                <c:pt idx="846">
                  <c:v>3.3</c:v>
                </c:pt>
                <c:pt idx="847">
                  <c:v>3.3</c:v>
                </c:pt>
                <c:pt idx="848">
                  <c:v>3.3</c:v>
                </c:pt>
                <c:pt idx="849">
                  <c:v>3.36</c:v>
                </c:pt>
                <c:pt idx="850">
                  <c:v>3.31</c:v>
                </c:pt>
                <c:pt idx="851">
                  <c:v>3.3</c:v>
                </c:pt>
                <c:pt idx="852">
                  <c:v>3.3</c:v>
                </c:pt>
                <c:pt idx="853">
                  <c:v>3.31</c:v>
                </c:pt>
                <c:pt idx="854">
                  <c:v>3.3</c:v>
                </c:pt>
                <c:pt idx="855">
                  <c:v>3.3</c:v>
                </c:pt>
                <c:pt idx="856">
                  <c:v>3.3</c:v>
                </c:pt>
                <c:pt idx="857">
                  <c:v>3.3</c:v>
                </c:pt>
                <c:pt idx="858">
                  <c:v>3.3</c:v>
                </c:pt>
                <c:pt idx="859">
                  <c:v>3.3</c:v>
                </c:pt>
                <c:pt idx="860">
                  <c:v>3.29</c:v>
                </c:pt>
                <c:pt idx="861">
                  <c:v>3.26</c:v>
                </c:pt>
                <c:pt idx="862">
                  <c:v>3.25</c:v>
                </c:pt>
                <c:pt idx="863">
                  <c:v>3.33</c:v>
                </c:pt>
                <c:pt idx="864">
                  <c:v>3.32</c:v>
                </c:pt>
                <c:pt idx="865">
                  <c:v>3.35</c:v>
                </c:pt>
                <c:pt idx="866">
                  <c:v>3.35</c:v>
                </c:pt>
                <c:pt idx="867">
                  <c:v>3.34</c:v>
                </c:pt>
                <c:pt idx="868">
                  <c:v>3.34</c:v>
                </c:pt>
                <c:pt idx="869">
                  <c:v>3.34</c:v>
                </c:pt>
                <c:pt idx="870">
                  <c:v>3.36</c:v>
                </c:pt>
                <c:pt idx="871">
                  <c:v>3.34</c:v>
                </c:pt>
                <c:pt idx="872">
                  <c:v>3.33</c:v>
                </c:pt>
                <c:pt idx="873">
                  <c:v>3.33</c:v>
                </c:pt>
                <c:pt idx="874">
                  <c:v>3.33</c:v>
                </c:pt>
                <c:pt idx="875">
                  <c:v>3.33</c:v>
                </c:pt>
                <c:pt idx="876">
                  <c:v>3.33</c:v>
                </c:pt>
                <c:pt idx="877">
                  <c:v>3.32</c:v>
                </c:pt>
                <c:pt idx="878">
                  <c:v>3.32</c:v>
                </c:pt>
                <c:pt idx="879">
                  <c:v>3.31</c:v>
                </c:pt>
                <c:pt idx="880">
                  <c:v>3.31</c:v>
                </c:pt>
                <c:pt idx="881">
                  <c:v>3.31</c:v>
                </c:pt>
                <c:pt idx="882">
                  <c:v>3.3</c:v>
                </c:pt>
                <c:pt idx="883">
                  <c:v>3.3</c:v>
                </c:pt>
                <c:pt idx="884">
                  <c:v>3.32</c:v>
                </c:pt>
                <c:pt idx="885">
                  <c:v>3.58</c:v>
                </c:pt>
                <c:pt idx="886">
                  <c:v>3.35</c:v>
                </c:pt>
                <c:pt idx="887">
                  <c:v>3.36</c:v>
                </c:pt>
                <c:pt idx="888">
                  <c:v>3.36</c:v>
                </c:pt>
                <c:pt idx="889">
                  <c:v>3.35</c:v>
                </c:pt>
                <c:pt idx="890">
                  <c:v>3.49</c:v>
                </c:pt>
                <c:pt idx="891">
                  <c:v>3.34</c:v>
                </c:pt>
                <c:pt idx="892">
                  <c:v>3.33</c:v>
                </c:pt>
                <c:pt idx="893">
                  <c:v>3.32</c:v>
                </c:pt>
                <c:pt idx="894">
                  <c:v>3.32</c:v>
                </c:pt>
                <c:pt idx="895">
                  <c:v>3.32</c:v>
                </c:pt>
                <c:pt idx="896">
                  <c:v>3.31</c:v>
                </c:pt>
                <c:pt idx="897">
                  <c:v>3.3</c:v>
                </c:pt>
                <c:pt idx="898">
                  <c:v>3.3</c:v>
                </c:pt>
                <c:pt idx="899">
                  <c:v>3.3</c:v>
                </c:pt>
                <c:pt idx="900">
                  <c:v>3.3</c:v>
                </c:pt>
                <c:pt idx="901">
                  <c:v>3.3</c:v>
                </c:pt>
                <c:pt idx="902">
                  <c:v>3.29</c:v>
                </c:pt>
                <c:pt idx="903">
                  <c:v>3.28</c:v>
                </c:pt>
                <c:pt idx="904">
                  <c:v>3.21</c:v>
                </c:pt>
                <c:pt idx="905">
                  <c:v>3.23</c:v>
                </c:pt>
                <c:pt idx="906">
                  <c:v>3.31</c:v>
                </c:pt>
                <c:pt idx="907">
                  <c:v>3.31</c:v>
                </c:pt>
                <c:pt idx="908">
                  <c:v>3.32</c:v>
                </c:pt>
                <c:pt idx="909">
                  <c:v>3.31</c:v>
                </c:pt>
                <c:pt idx="910">
                  <c:v>3.3</c:v>
                </c:pt>
                <c:pt idx="911">
                  <c:v>3.3</c:v>
                </c:pt>
                <c:pt idx="912">
                  <c:v>3.3</c:v>
                </c:pt>
                <c:pt idx="913">
                  <c:v>3.34</c:v>
                </c:pt>
                <c:pt idx="914">
                  <c:v>3.3</c:v>
                </c:pt>
                <c:pt idx="915">
                  <c:v>3.3</c:v>
                </c:pt>
                <c:pt idx="916">
                  <c:v>3.3</c:v>
                </c:pt>
                <c:pt idx="917">
                  <c:v>3.29</c:v>
                </c:pt>
                <c:pt idx="918">
                  <c:v>3.29</c:v>
                </c:pt>
                <c:pt idx="919">
                  <c:v>3.29</c:v>
                </c:pt>
                <c:pt idx="920">
                  <c:v>3.29</c:v>
                </c:pt>
                <c:pt idx="921">
                  <c:v>3.29</c:v>
                </c:pt>
                <c:pt idx="922">
                  <c:v>3.29</c:v>
                </c:pt>
                <c:pt idx="923">
                  <c:v>3.29</c:v>
                </c:pt>
                <c:pt idx="924">
                  <c:v>3.28</c:v>
                </c:pt>
                <c:pt idx="925">
                  <c:v>3.28</c:v>
                </c:pt>
                <c:pt idx="926">
                  <c:v>3.29</c:v>
                </c:pt>
                <c:pt idx="927">
                  <c:v>3.29</c:v>
                </c:pt>
                <c:pt idx="928">
                  <c:v>3.29</c:v>
                </c:pt>
                <c:pt idx="929">
                  <c:v>3.29</c:v>
                </c:pt>
                <c:pt idx="930">
                  <c:v>3.29</c:v>
                </c:pt>
                <c:pt idx="931">
                  <c:v>3.29</c:v>
                </c:pt>
                <c:pt idx="932">
                  <c:v>3.29</c:v>
                </c:pt>
                <c:pt idx="933">
                  <c:v>3.29</c:v>
                </c:pt>
                <c:pt idx="934">
                  <c:v>3.29</c:v>
                </c:pt>
                <c:pt idx="935">
                  <c:v>3.34</c:v>
                </c:pt>
                <c:pt idx="936">
                  <c:v>3.29</c:v>
                </c:pt>
                <c:pt idx="937">
                  <c:v>3.29</c:v>
                </c:pt>
                <c:pt idx="938">
                  <c:v>3.29</c:v>
                </c:pt>
                <c:pt idx="939">
                  <c:v>3.29</c:v>
                </c:pt>
                <c:pt idx="940">
                  <c:v>3.28</c:v>
                </c:pt>
                <c:pt idx="941">
                  <c:v>3.28</c:v>
                </c:pt>
                <c:pt idx="942">
                  <c:v>3.29</c:v>
                </c:pt>
                <c:pt idx="943">
                  <c:v>3.29</c:v>
                </c:pt>
                <c:pt idx="944">
                  <c:v>3.29</c:v>
                </c:pt>
                <c:pt idx="945">
                  <c:v>3.29</c:v>
                </c:pt>
                <c:pt idx="946">
                  <c:v>3.29</c:v>
                </c:pt>
                <c:pt idx="947">
                  <c:v>3.29</c:v>
                </c:pt>
                <c:pt idx="948">
                  <c:v>3.29</c:v>
                </c:pt>
                <c:pt idx="949">
                  <c:v>3.29</c:v>
                </c:pt>
                <c:pt idx="950">
                  <c:v>3.63</c:v>
                </c:pt>
                <c:pt idx="951">
                  <c:v>3.31</c:v>
                </c:pt>
                <c:pt idx="952">
                  <c:v>3.31</c:v>
                </c:pt>
                <c:pt idx="953">
                  <c:v>3.31</c:v>
                </c:pt>
                <c:pt idx="954">
                  <c:v>3.31</c:v>
                </c:pt>
                <c:pt idx="955">
                  <c:v>3.42</c:v>
                </c:pt>
                <c:pt idx="956">
                  <c:v>3.3</c:v>
                </c:pt>
                <c:pt idx="957">
                  <c:v>3.3</c:v>
                </c:pt>
                <c:pt idx="958">
                  <c:v>3.29</c:v>
                </c:pt>
                <c:pt idx="959">
                  <c:v>3.29</c:v>
                </c:pt>
                <c:pt idx="960">
                  <c:v>3.29</c:v>
                </c:pt>
                <c:pt idx="961">
                  <c:v>3.29</c:v>
                </c:pt>
                <c:pt idx="962">
                  <c:v>3.29</c:v>
                </c:pt>
                <c:pt idx="963">
                  <c:v>3.29</c:v>
                </c:pt>
                <c:pt idx="964">
                  <c:v>3.29</c:v>
                </c:pt>
                <c:pt idx="965">
                  <c:v>3.29</c:v>
                </c:pt>
                <c:pt idx="966">
                  <c:v>3.29</c:v>
                </c:pt>
                <c:pt idx="967">
                  <c:v>3.29</c:v>
                </c:pt>
                <c:pt idx="968">
                  <c:v>3.29</c:v>
                </c:pt>
                <c:pt idx="969">
                  <c:v>3.29</c:v>
                </c:pt>
                <c:pt idx="970">
                  <c:v>3.35</c:v>
                </c:pt>
                <c:pt idx="971">
                  <c:v>3.37</c:v>
                </c:pt>
                <c:pt idx="972">
                  <c:v>3.32</c:v>
                </c:pt>
                <c:pt idx="973">
                  <c:v>3.29</c:v>
                </c:pt>
                <c:pt idx="974">
                  <c:v>3.29</c:v>
                </c:pt>
                <c:pt idx="975">
                  <c:v>3.29</c:v>
                </c:pt>
                <c:pt idx="976">
                  <c:v>3.29</c:v>
                </c:pt>
                <c:pt idx="977">
                  <c:v>3.29</c:v>
                </c:pt>
                <c:pt idx="978">
                  <c:v>3.34</c:v>
                </c:pt>
                <c:pt idx="979">
                  <c:v>3.3</c:v>
                </c:pt>
                <c:pt idx="980">
                  <c:v>3.29</c:v>
                </c:pt>
                <c:pt idx="981">
                  <c:v>3.29</c:v>
                </c:pt>
                <c:pt idx="982">
                  <c:v>3.28</c:v>
                </c:pt>
                <c:pt idx="983">
                  <c:v>3.25</c:v>
                </c:pt>
                <c:pt idx="984">
                  <c:v>3.29</c:v>
                </c:pt>
                <c:pt idx="985">
                  <c:v>3.29</c:v>
                </c:pt>
                <c:pt idx="986">
                  <c:v>3.29</c:v>
                </c:pt>
                <c:pt idx="987">
                  <c:v>3.29</c:v>
                </c:pt>
                <c:pt idx="988">
                  <c:v>3.29</c:v>
                </c:pt>
                <c:pt idx="989">
                  <c:v>3.29</c:v>
                </c:pt>
                <c:pt idx="990">
                  <c:v>3.29</c:v>
                </c:pt>
                <c:pt idx="991">
                  <c:v>3.29</c:v>
                </c:pt>
                <c:pt idx="992">
                  <c:v>3.29</c:v>
                </c:pt>
                <c:pt idx="993">
                  <c:v>3.3</c:v>
                </c:pt>
                <c:pt idx="994">
                  <c:v>3.49</c:v>
                </c:pt>
                <c:pt idx="995">
                  <c:v>3.3</c:v>
                </c:pt>
                <c:pt idx="996">
                  <c:v>3.3</c:v>
                </c:pt>
                <c:pt idx="997">
                  <c:v>3.3</c:v>
                </c:pt>
                <c:pt idx="998">
                  <c:v>3.3</c:v>
                </c:pt>
                <c:pt idx="999">
                  <c:v>3.38</c:v>
                </c:pt>
                <c:pt idx="1000">
                  <c:v>3.36</c:v>
                </c:pt>
                <c:pt idx="1001">
                  <c:v>3.32</c:v>
                </c:pt>
                <c:pt idx="1002">
                  <c:v>3.01</c:v>
                </c:pt>
                <c:pt idx="1003">
                  <c:v>2.94</c:v>
                </c:pt>
                <c:pt idx="1004">
                  <c:v>2.9</c:v>
                </c:pt>
                <c:pt idx="1005">
                  <c:v>2.89</c:v>
                </c:pt>
                <c:pt idx="1006">
                  <c:v>2.89</c:v>
                </c:pt>
                <c:pt idx="1007">
                  <c:v>2.88</c:v>
                </c:pt>
                <c:pt idx="1008">
                  <c:v>2.88</c:v>
                </c:pt>
                <c:pt idx="1009">
                  <c:v>2.89</c:v>
                </c:pt>
                <c:pt idx="1010">
                  <c:v>2.89</c:v>
                </c:pt>
                <c:pt idx="1011">
                  <c:v>2.97</c:v>
                </c:pt>
                <c:pt idx="1012">
                  <c:v>2.97</c:v>
                </c:pt>
                <c:pt idx="1013">
                  <c:v>3.35</c:v>
                </c:pt>
                <c:pt idx="1014">
                  <c:v>3.5</c:v>
                </c:pt>
                <c:pt idx="1015">
                  <c:v>3.7</c:v>
                </c:pt>
                <c:pt idx="1016">
                  <c:v>3.05</c:v>
                </c:pt>
                <c:pt idx="1017">
                  <c:v>3.03</c:v>
                </c:pt>
                <c:pt idx="1018">
                  <c:v>3.03</c:v>
                </c:pt>
                <c:pt idx="1019">
                  <c:v>3.44</c:v>
                </c:pt>
                <c:pt idx="1020">
                  <c:v>2.9</c:v>
                </c:pt>
                <c:pt idx="1021">
                  <c:v>2.89</c:v>
                </c:pt>
                <c:pt idx="1022">
                  <c:v>2.88</c:v>
                </c:pt>
                <c:pt idx="1023">
                  <c:v>2.86</c:v>
                </c:pt>
                <c:pt idx="1024">
                  <c:v>2.84</c:v>
                </c:pt>
                <c:pt idx="1025">
                  <c:v>2.83</c:v>
                </c:pt>
                <c:pt idx="1026">
                  <c:v>2.82</c:v>
                </c:pt>
                <c:pt idx="1027">
                  <c:v>2.82</c:v>
                </c:pt>
                <c:pt idx="1028">
                  <c:v>2.82</c:v>
                </c:pt>
                <c:pt idx="1029">
                  <c:v>2.82</c:v>
                </c:pt>
                <c:pt idx="1030">
                  <c:v>2.82</c:v>
                </c:pt>
                <c:pt idx="1031">
                  <c:v>2.81</c:v>
                </c:pt>
                <c:pt idx="1032">
                  <c:v>2.81</c:v>
                </c:pt>
                <c:pt idx="1033">
                  <c:v>2.81</c:v>
                </c:pt>
                <c:pt idx="1034">
                  <c:v>2.57</c:v>
                </c:pt>
                <c:pt idx="1035">
                  <c:v>2.12</c:v>
                </c:pt>
                <c:pt idx="1036">
                  <c:v>2.81</c:v>
                </c:pt>
                <c:pt idx="1037">
                  <c:v>2.81</c:v>
                </c:pt>
                <c:pt idx="1038">
                  <c:v>2.81</c:v>
                </c:pt>
                <c:pt idx="1039">
                  <c:v>2.8</c:v>
                </c:pt>
                <c:pt idx="1040">
                  <c:v>2.8</c:v>
                </c:pt>
                <c:pt idx="1041">
                  <c:v>2.86</c:v>
                </c:pt>
                <c:pt idx="1042">
                  <c:v>2.8</c:v>
                </c:pt>
                <c:pt idx="1043">
                  <c:v>2.8</c:v>
                </c:pt>
                <c:pt idx="1044">
                  <c:v>2.79</c:v>
                </c:pt>
                <c:pt idx="1045">
                  <c:v>2.79</c:v>
                </c:pt>
                <c:pt idx="1046">
                  <c:v>2.78</c:v>
                </c:pt>
                <c:pt idx="1047">
                  <c:v>2.78</c:v>
                </c:pt>
                <c:pt idx="1048">
                  <c:v>2.78</c:v>
                </c:pt>
                <c:pt idx="1049">
                  <c:v>2.78</c:v>
                </c:pt>
                <c:pt idx="1050">
                  <c:v>2.78</c:v>
                </c:pt>
                <c:pt idx="1051">
                  <c:v>2.78</c:v>
                </c:pt>
                <c:pt idx="1052">
                  <c:v>2.78</c:v>
                </c:pt>
                <c:pt idx="1053">
                  <c:v>2.79</c:v>
                </c:pt>
                <c:pt idx="1054">
                  <c:v>2.79</c:v>
                </c:pt>
                <c:pt idx="1055">
                  <c:v>2.77</c:v>
                </c:pt>
                <c:pt idx="1056">
                  <c:v>2.39</c:v>
                </c:pt>
                <c:pt idx="1057">
                  <c:v>2.78</c:v>
                </c:pt>
                <c:pt idx="1058">
                  <c:v>2.77</c:v>
                </c:pt>
                <c:pt idx="1059">
                  <c:v>2.77</c:v>
                </c:pt>
                <c:pt idx="1060">
                  <c:v>2.75</c:v>
                </c:pt>
                <c:pt idx="1061">
                  <c:v>2.82</c:v>
                </c:pt>
                <c:pt idx="1062">
                  <c:v>2.97</c:v>
                </c:pt>
                <c:pt idx="1063">
                  <c:v>3.36</c:v>
                </c:pt>
                <c:pt idx="1064">
                  <c:v>3.11</c:v>
                </c:pt>
                <c:pt idx="1065">
                  <c:v>2.97</c:v>
                </c:pt>
                <c:pt idx="1066">
                  <c:v>3.17</c:v>
                </c:pt>
                <c:pt idx="1067">
                  <c:v>3.19</c:v>
                </c:pt>
                <c:pt idx="1068">
                  <c:v>2.84</c:v>
                </c:pt>
                <c:pt idx="1069">
                  <c:v>2.65</c:v>
                </c:pt>
                <c:pt idx="1070">
                  <c:v>2.61</c:v>
                </c:pt>
                <c:pt idx="1071">
                  <c:v>2.61</c:v>
                </c:pt>
                <c:pt idx="1072">
                  <c:v>2.6</c:v>
                </c:pt>
                <c:pt idx="1073">
                  <c:v>2.59</c:v>
                </c:pt>
                <c:pt idx="1074">
                  <c:v>2.5099999999999998</c:v>
                </c:pt>
                <c:pt idx="1075">
                  <c:v>2.37</c:v>
                </c:pt>
                <c:pt idx="1076">
                  <c:v>2.72</c:v>
                </c:pt>
                <c:pt idx="1077">
                  <c:v>2.56</c:v>
                </c:pt>
                <c:pt idx="1078">
                  <c:v>2.56</c:v>
                </c:pt>
                <c:pt idx="1079">
                  <c:v>2.56</c:v>
                </c:pt>
                <c:pt idx="1080">
                  <c:v>2.56</c:v>
                </c:pt>
                <c:pt idx="1081">
                  <c:v>2.56</c:v>
                </c:pt>
                <c:pt idx="1082">
                  <c:v>2.66</c:v>
                </c:pt>
                <c:pt idx="1083">
                  <c:v>2.5499999999999998</c:v>
                </c:pt>
                <c:pt idx="1084">
                  <c:v>2.54</c:v>
                </c:pt>
                <c:pt idx="1085">
                  <c:v>2.54</c:v>
                </c:pt>
                <c:pt idx="1086">
                  <c:v>2.54</c:v>
                </c:pt>
                <c:pt idx="1087">
                  <c:v>2.54</c:v>
                </c:pt>
                <c:pt idx="1088">
                  <c:v>2.54</c:v>
                </c:pt>
                <c:pt idx="1089">
                  <c:v>2.54</c:v>
                </c:pt>
                <c:pt idx="1090">
                  <c:v>2.54</c:v>
                </c:pt>
                <c:pt idx="1091">
                  <c:v>2.54</c:v>
                </c:pt>
                <c:pt idx="1092">
                  <c:v>2.54</c:v>
                </c:pt>
                <c:pt idx="1093">
                  <c:v>2.54</c:v>
                </c:pt>
                <c:pt idx="1094">
                  <c:v>2.5499999999999998</c:v>
                </c:pt>
                <c:pt idx="1095">
                  <c:v>2.64</c:v>
                </c:pt>
                <c:pt idx="1096">
                  <c:v>2.64</c:v>
                </c:pt>
                <c:pt idx="1097">
                  <c:v>2.65</c:v>
                </c:pt>
                <c:pt idx="1098">
                  <c:v>2.58</c:v>
                </c:pt>
                <c:pt idx="1099">
                  <c:v>2.5499999999999998</c:v>
                </c:pt>
                <c:pt idx="1100">
                  <c:v>2.5499999999999998</c:v>
                </c:pt>
                <c:pt idx="1101">
                  <c:v>2.5499999999999998</c:v>
                </c:pt>
                <c:pt idx="1102">
                  <c:v>2.5499999999999998</c:v>
                </c:pt>
                <c:pt idx="1103">
                  <c:v>2.64</c:v>
                </c:pt>
                <c:pt idx="1104">
                  <c:v>2.5499999999999998</c:v>
                </c:pt>
                <c:pt idx="1105">
                  <c:v>2.5499999999999998</c:v>
                </c:pt>
                <c:pt idx="1106">
                  <c:v>2.5499999999999998</c:v>
                </c:pt>
                <c:pt idx="1107">
                  <c:v>2.5499999999999998</c:v>
                </c:pt>
                <c:pt idx="1108">
                  <c:v>2.54</c:v>
                </c:pt>
                <c:pt idx="1109">
                  <c:v>2.5499999999999998</c:v>
                </c:pt>
                <c:pt idx="1110">
                  <c:v>2.5499999999999998</c:v>
                </c:pt>
                <c:pt idx="1111">
                  <c:v>2.5499999999999998</c:v>
                </c:pt>
                <c:pt idx="1112">
                  <c:v>2.5499999999999998</c:v>
                </c:pt>
                <c:pt idx="1113">
                  <c:v>2.56</c:v>
                </c:pt>
                <c:pt idx="1114">
                  <c:v>2.56</c:v>
                </c:pt>
                <c:pt idx="1115">
                  <c:v>2.56</c:v>
                </c:pt>
                <c:pt idx="1116">
                  <c:v>2.59</c:v>
                </c:pt>
                <c:pt idx="1117">
                  <c:v>2.73</c:v>
                </c:pt>
                <c:pt idx="1118">
                  <c:v>2.57</c:v>
                </c:pt>
                <c:pt idx="1119">
                  <c:v>2.21</c:v>
                </c:pt>
                <c:pt idx="1120">
                  <c:v>2.56</c:v>
                </c:pt>
                <c:pt idx="1121">
                  <c:v>2.58</c:v>
                </c:pt>
                <c:pt idx="1122">
                  <c:v>2.59</c:v>
                </c:pt>
                <c:pt idx="1123">
                  <c:v>2.6</c:v>
                </c:pt>
                <c:pt idx="1124">
                  <c:v>2.65</c:v>
                </c:pt>
                <c:pt idx="1125">
                  <c:v>2.65</c:v>
                </c:pt>
                <c:pt idx="1126">
                  <c:v>2.68</c:v>
                </c:pt>
                <c:pt idx="1127">
                  <c:v>2.37</c:v>
                </c:pt>
                <c:pt idx="1128">
                  <c:v>2.19</c:v>
                </c:pt>
                <c:pt idx="1129">
                  <c:v>2.15</c:v>
                </c:pt>
                <c:pt idx="1130">
                  <c:v>2.14</c:v>
                </c:pt>
                <c:pt idx="1131">
                  <c:v>2.13</c:v>
                </c:pt>
                <c:pt idx="1132">
                  <c:v>2.14</c:v>
                </c:pt>
                <c:pt idx="1133">
                  <c:v>2.14</c:v>
                </c:pt>
                <c:pt idx="1134">
                  <c:v>2.14</c:v>
                </c:pt>
                <c:pt idx="1135">
                  <c:v>2.14</c:v>
                </c:pt>
                <c:pt idx="1136">
                  <c:v>2.13</c:v>
                </c:pt>
                <c:pt idx="1137">
                  <c:v>2.13</c:v>
                </c:pt>
                <c:pt idx="1138">
                  <c:v>2.2000000000000002</c:v>
                </c:pt>
                <c:pt idx="1139">
                  <c:v>2.16</c:v>
                </c:pt>
                <c:pt idx="1140">
                  <c:v>2.11</c:v>
                </c:pt>
                <c:pt idx="1141">
                  <c:v>2.12</c:v>
                </c:pt>
                <c:pt idx="1142">
                  <c:v>2.12</c:v>
                </c:pt>
                <c:pt idx="1143">
                  <c:v>2.12</c:v>
                </c:pt>
                <c:pt idx="1144">
                  <c:v>2.14</c:v>
                </c:pt>
                <c:pt idx="1145">
                  <c:v>2.38</c:v>
                </c:pt>
                <c:pt idx="1146">
                  <c:v>2.12</c:v>
                </c:pt>
                <c:pt idx="1147">
                  <c:v>2.12</c:v>
                </c:pt>
                <c:pt idx="1148">
                  <c:v>2.12</c:v>
                </c:pt>
                <c:pt idx="1149">
                  <c:v>2.12</c:v>
                </c:pt>
                <c:pt idx="1150">
                  <c:v>2.11</c:v>
                </c:pt>
                <c:pt idx="1151">
                  <c:v>2.1</c:v>
                </c:pt>
                <c:pt idx="1152">
                  <c:v>2.1</c:v>
                </c:pt>
                <c:pt idx="1153">
                  <c:v>2.1</c:v>
                </c:pt>
                <c:pt idx="1154">
                  <c:v>2.09</c:v>
                </c:pt>
                <c:pt idx="1155">
                  <c:v>2.09</c:v>
                </c:pt>
                <c:pt idx="1156">
                  <c:v>2.09</c:v>
                </c:pt>
                <c:pt idx="1157">
                  <c:v>2.09</c:v>
                </c:pt>
                <c:pt idx="1158">
                  <c:v>2.09</c:v>
                </c:pt>
                <c:pt idx="1159">
                  <c:v>2.08</c:v>
                </c:pt>
                <c:pt idx="1160">
                  <c:v>2.08</c:v>
                </c:pt>
                <c:pt idx="1161">
                  <c:v>2.09</c:v>
                </c:pt>
                <c:pt idx="1162">
                  <c:v>1.83</c:v>
                </c:pt>
                <c:pt idx="1163">
                  <c:v>2.06</c:v>
                </c:pt>
                <c:pt idx="1164">
                  <c:v>2.0499999999999998</c:v>
                </c:pt>
                <c:pt idx="1165">
                  <c:v>2.04</c:v>
                </c:pt>
                <c:pt idx="1166">
                  <c:v>2.0499999999999998</c:v>
                </c:pt>
                <c:pt idx="1167">
                  <c:v>2.0699999999999998</c:v>
                </c:pt>
                <c:pt idx="1168">
                  <c:v>2.11</c:v>
                </c:pt>
                <c:pt idx="1169">
                  <c:v>2.08</c:v>
                </c:pt>
                <c:pt idx="1170">
                  <c:v>2.0699999999999998</c:v>
                </c:pt>
                <c:pt idx="1171">
                  <c:v>2.0699999999999998</c:v>
                </c:pt>
                <c:pt idx="1172">
                  <c:v>2.06</c:v>
                </c:pt>
                <c:pt idx="1173">
                  <c:v>2.06</c:v>
                </c:pt>
                <c:pt idx="1174">
                  <c:v>2.06</c:v>
                </c:pt>
                <c:pt idx="1175">
                  <c:v>2.06</c:v>
                </c:pt>
                <c:pt idx="1176">
                  <c:v>2.06</c:v>
                </c:pt>
                <c:pt idx="1177">
                  <c:v>2.06</c:v>
                </c:pt>
                <c:pt idx="1178">
                  <c:v>2.06</c:v>
                </c:pt>
                <c:pt idx="1179">
                  <c:v>2.0699999999999998</c:v>
                </c:pt>
                <c:pt idx="1180">
                  <c:v>2.0699999999999998</c:v>
                </c:pt>
                <c:pt idx="1181">
                  <c:v>2.0699999999999998</c:v>
                </c:pt>
                <c:pt idx="1182">
                  <c:v>2.09</c:v>
                </c:pt>
                <c:pt idx="1183">
                  <c:v>2.15</c:v>
                </c:pt>
                <c:pt idx="1184">
                  <c:v>2.4500000000000002</c:v>
                </c:pt>
                <c:pt idx="1185">
                  <c:v>2.1</c:v>
                </c:pt>
                <c:pt idx="1186">
                  <c:v>2.1</c:v>
                </c:pt>
                <c:pt idx="1187">
                  <c:v>2.09</c:v>
                </c:pt>
                <c:pt idx="1188">
                  <c:v>2.09</c:v>
                </c:pt>
                <c:pt idx="1189">
                  <c:v>2.14</c:v>
                </c:pt>
                <c:pt idx="1190">
                  <c:v>2.09</c:v>
                </c:pt>
                <c:pt idx="1191">
                  <c:v>2.09</c:v>
                </c:pt>
                <c:pt idx="1192">
                  <c:v>2.09</c:v>
                </c:pt>
                <c:pt idx="1193">
                  <c:v>2.08</c:v>
                </c:pt>
                <c:pt idx="1194">
                  <c:v>2.08</c:v>
                </c:pt>
                <c:pt idx="1195">
                  <c:v>2.08</c:v>
                </c:pt>
                <c:pt idx="1196">
                  <c:v>2.08</c:v>
                </c:pt>
                <c:pt idx="1197">
                  <c:v>2.08</c:v>
                </c:pt>
                <c:pt idx="1198">
                  <c:v>2.08</c:v>
                </c:pt>
                <c:pt idx="1199">
                  <c:v>2.08</c:v>
                </c:pt>
                <c:pt idx="1200">
                  <c:v>2.08</c:v>
                </c:pt>
                <c:pt idx="1201">
                  <c:v>2.08</c:v>
                </c:pt>
                <c:pt idx="1202">
                  <c:v>2.0699999999999998</c:v>
                </c:pt>
                <c:pt idx="1203">
                  <c:v>2.04</c:v>
                </c:pt>
                <c:pt idx="1204">
                  <c:v>1.93</c:v>
                </c:pt>
                <c:pt idx="1205">
                  <c:v>1.74</c:v>
                </c:pt>
                <c:pt idx="1206">
                  <c:v>1.34</c:v>
                </c:pt>
                <c:pt idx="1207">
                  <c:v>2.0699999999999998</c:v>
                </c:pt>
                <c:pt idx="1208">
                  <c:v>2.06</c:v>
                </c:pt>
                <c:pt idx="1209">
                  <c:v>2.06</c:v>
                </c:pt>
                <c:pt idx="1210">
                  <c:v>2.06</c:v>
                </c:pt>
                <c:pt idx="1211">
                  <c:v>2.1</c:v>
                </c:pt>
                <c:pt idx="1212">
                  <c:v>2.06</c:v>
                </c:pt>
                <c:pt idx="1213">
                  <c:v>2.06</c:v>
                </c:pt>
                <c:pt idx="1214">
                  <c:v>2.06</c:v>
                </c:pt>
                <c:pt idx="1215">
                  <c:v>2.06</c:v>
                </c:pt>
                <c:pt idx="1216">
                  <c:v>2.06</c:v>
                </c:pt>
                <c:pt idx="1217">
                  <c:v>2.06</c:v>
                </c:pt>
                <c:pt idx="1218">
                  <c:v>2.06</c:v>
                </c:pt>
                <c:pt idx="1219">
                  <c:v>2.06</c:v>
                </c:pt>
                <c:pt idx="1220">
                  <c:v>2.06</c:v>
                </c:pt>
                <c:pt idx="1221">
                  <c:v>2.0499999999999998</c:v>
                </c:pt>
                <c:pt idx="1222">
                  <c:v>2.0499999999999998</c:v>
                </c:pt>
                <c:pt idx="1223">
                  <c:v>2.0499999999999998</c:v>
                </c:pt>
                <c:pt idx="1224">
                  <c:v>2.0099999999999998</c:v>
                </c:pt>
                <c:pt idx="1225">
                  <c:v>1.91</c:v>
                </c:pt>
                <c:pt idx="1226">
                  <c:v>1.99</c:v>
                </c:pt>
                <c:pt idx="1227">
                  <c:v>1.96</c:v>
                </c:pt>
                <c:pt idx="1228">
                  <c:v>1.44</c:v>
                </c:pt>
                <c:pt idx="1229">
                  <c:v>2.0499999999999998</c:v>
                </c:pt>
                <c:pt idx="1230">
                  <c:v>2.0499999999999998</c:v>
                </c:pt>
                <c:pt idx="1231">
                  <c:v>2.0499999999999998</c:v>
                </c:pt>
                <c:pt idx="1232">
                  <c:v>2.0499999999999998</c:v>
                </c:pt>
                <c:pt idx="1233">
                  <c:v>2.06</c:v>
                </c:pt>
                <c:pt idx="1234">
                  <c:v>2.08</c:v>
                </c:pt>
                <c:pt idx="1235">
                  <c:v>2.0499999999999998</c:v>
                </c:pt>
                <c:pt idx="1236">
                  <c:v>2.0499999999999998</c:v>
                </c:pt>
                <c:pt idx="1237">
                  <c:v>2.0499999999999998</c:v>
                </c:pt>
                <c:pt idx="1238">
                  <c:v>2.0499999999999998</c:v>
                </c:pt>
                <c:pt idx="1239">
                  <c:v>2.0499999999999998</c:v>
                </c:pt>
                <c:pt idx="1240">
                  <c:v>2.0499999999999998</c:v>
                </c:pt>
                <c:pt idx="1241">
                  <c:v>2.04</c:v>
                </c:pt>
                <c:pt idx="1242">
                  <c:v>2.04</c:v>
                </c:pt>
                <c:pt idx="1243">
                  <c:v>2.02</c:v>
                </c:pt>
                <c:pt idx="1244">
                  <c:v>1.92</c:v>
                </c:pt>
                <c:pt idx="1245">
                  <c:v>2</c:v>
                </c:pt>
                <c:pt idx="1246">
                  <c:v>1.99</c:v>
                </c:pt>
                <c:pt idx="1247">
                  <c:v>1.79</c:v>
                </c:pt>
                <c:pt idx="1248">
                  <c:v>1.54</c:v>
                </c:pt>
                <c:pt idx="1249">
                  <c:v>1.46</c:v>
                </c:pt>
                <c:pt idx="1250">
                  <c:v>2.04</c:v>
                </c:pt>
                <c:pt idx="1251">
                  <c:v>2.06</c:v>
                </c:pt>
                <c:pt idx="1252">
                  <c:v>2.08</c:v>
                </c:pt>
                <c:pt idx="1253">
                  <c:v>2.09</c:v>
                </c:pt>
                <c:pt idx="1254">
                  <c:v>2.09</c:v>
                </c:pt>
                <c:pt idx="1255">
                  <c:v>2.0499999999999998</c:v>
                </c:pt>
                <c:pt idx="1256">
                  <c:v>2.0499999999999998</c:v>
                </c:pt>
                <c:pt idx="1257">
                  <c:v>2.04</c:v>
                </c:pt>
                <c:pt idx="1258">
                  <c:v>2.04</c:v>
                </c:pt>
                <c:pt idx="1259">
                  <c:v>2.04</c:v>
                </c:pt>
                <c:pt idx="1260">
                  <c:v>2.0299999999999998</c:v>
                </c:pt>
                <c:pt idx="1261">
                  <c:v>2.0299999999999998</c:v>
                </c:pt>
                <c:pt idx="1262">
                  <c:v>2.04</c:v>
                </c:pt>
                <c:pt idx="1263">
                  <c:v>2.04</c:v>
                </c:pt>
                <c:pt idx="1264">
                  <c:v>2.0499999999999998</c:v>
                </c:pt>
                <c:pt idx="1265">
                  <c:v>2.04</c:v>
                </c:pt>
                <c:pt idx="1266">
                  <c:v>2.0299999999999998</c:v>
                </c:pt>
                <c:pt idx="1267">
                  <c:v>1.88</c:v>
                </c:pt>
                <c:pt idx="1268">
                  <c:v>1.71</c:v>
                </c:pt>
                <c:pt idx="1269">
                  <c:v>1.62</c:v>
                </c:pt>
                <c:pt idx="1270">
                  <c:v>1.89</c:v>
                </c:pt>
                <c:pt idx="1271">
                  <c:v>2.46</c:v>
                </c:pt>
                <c:pt idx="1272">
                  <c:v>2.2799999999999998</c:v>
                </c:pt>
                <c:pt idx="1273">
                  <c:v>2.33</c:v>
                </c:pt>
                <c:pt idx="1274">
                  <c:v>2.2200000000000002</c:v>
                </c:pt>
                <c:pt idx="1275">
                  <c:v>2.3199999999999998</c:v>
                </c:pt>
                <c:pt idx="1276">
                  <c:v>2.06</c:v>
                </c:pt>
                <c:pt idx="1277">
                  <c:v>2.0499999999999998</c:v>
                </c:pt>
                <c:pt idx="1278">
                  <c:v>2.04</c:v>
                </c:pt>
                <c:pt idx="1279">
                  <c:v>2.04</c:v>
                </c:pt>
                <c:pt idx="1280">
                  <c:v>2.04</c:v>
                </c:pt>
                <c:pt idx="1281">
                  <c:v>2.04</c:v>
                </c:pt>
                <c:pt idx="1282">
                  <c:v>2.04</c:v>
                </c:pt>
                <c:pt idx="1283">
                  <c:v>2.04</c:v>
                </c:pt>
                <c:pt idx="1284">
                  <c:v>2.02</c:v>
                </c:pt>
                <c:pt idx="1285">
                  <c:v>1.94</c:v>
                </c:pt>
                <c:pt idx="1286">
                  <c:v>1.95</c:v>
                </c:pt>
                <c:pt idx="1287">
                  <c:v>1.99</c:v>
                </c:pt>
                <c:pt idx="1288">
                  <c:v>2</c:v>
                </c:pt>
                <c:pt idx="1289">
                  <c:v>2.04</c:v>
                </c:pt>
                <c:pt idx="1290">
                  <c:v>1.98</c:v>
                </c:pt>
                <c:pt idx="1291">
                  <c:v>1.92</c:v>
                </c:pt>
                <c:pt idx="1292">
                  <c:v>2.0499999999999998</c:v>
                </c:pt>
                <c:pt idx="1293">
                  <c:v>2.0499999999999998</c:v>
                </c:pt>
                <c:pt idx="1294">
                  <c:v>2.0499999999999998</c:v>
                </c:pt>
                <c:pt idx="1295">
                  <c:v>2.0499999999999998</c:v>
                </c:pt>
                <c:pt idx="1296">
                  <c:v>2.06</c:v>
                </c:pt>
                <c:pt idx="1297">
                  <c:v>2.04</c:v>
                </c:pt>
                <c:pt idx="1298">
                  <c:v>2.0299999999999998</c:v>
                </c:pt>
                <c:pt idx="1299">
                  <c:v>2.0299999999999998</c:v>
                </c:pt>
                <c:pt idx="1300">
                  <c:v>2.0299999999999998</c:v>
                </c:pt>
                <c:pt idx="1301">
                  <c:v>2.02</c:v>
                </c:pt>
                <c:pt idx="1302">
                  <c:v>2.02</c:v>
                </c:pt>
                <c:pt idx="1303">
                  <c:v>2.02</c:v>
                </c:pt>
                <c:pt idx="1304">
                  <c:v>2.02</c:v>
                </c:pt>
                <c:pt idx="1305">
                  <c:v>2.02</c:v>
                </c:pt>
                <c:pt idx="1306">
                  <c:v>2.02</c:v>
                </c:pt>
                <c:pt idx="1307">
                  <c:v>2.02</c:v>
                </c:pt>
                <c:pt idx="1308">
                  <c:v>2.02</c:v>
                </c:pt>
                <c:pt idx="1309">
                  <c:v>2.02</c:v>
                </c:pt>
                <c:pt idx="1310">
                  <c:v>2.02</c:v>
                </c:pt>
                <c:pt idx="1311">
                  <c:v>2.04</c:v>
                </c:pt>
                <c:pt idx="1312">
                  <c:v>2.0499999999999998</c:v>
                </c:pt>
                <c:pt idx="1313">
                  <c:v>2.0499999999999998</c:v>
                </c:pt>
                <c:pt idx="1314">
                  <c:v>2.0499999999999998</c:v>
                </c:pt>
                <c:pt idx="1315">
                  <c:v>2.0499999999999998</c:v>
                </c:pt>
                <c:pt idx="1316">
                  <c:v>2.06</c:v>
                </c:pt>
                <c:pt idx="1317">
                  <c:v>2.04</c:v>
                </c:pt>
                <c:pt idx="1318">
                  <c:v>2.0299999999999998</c:v>
                </c:pt>
                <c:pt idx="1319">
                  <c:v>1.99</c:v>
                </c:pt>
                <c:pt idx="1320">
                  <c:v>1.88</c:v>
                </c:pt>
                <c:pt idx="1321">
                  <c:v>1.84</c:v>
                </c:pt>
                <c:pt idx="1322">
                  <c:v>1.9</c:v>
                </c:pt>
                <c:pt idx="1323">
                  <c:v>1.99</c:v>
                </c:pt>
                <c:pt idx="1324">
                  <c:v>2.02</c:v>
                </c:pt>
                <c:pt idx="1325">
                  <c:v>2.02</c:v>
                </c:pt>
                <c:pt idx="1326">
                  <c:v>2.02</c:v>
                </c:pt>
                <c:pt idx="1327">
                  <c:v>2.02</c:v>
                </c:pt>
                <c:pt idx="1328">
                  <c:v>2.0099999999999998</c:v>
                </c:pt>
                <c:pt idx="1329">
                  <c:v>2.0099999999999998</c:v>
                </c:pt>
                <c:pt idx="1330">
                  <c:v>2</c:v>
                </c:pt>
                <c:pt idx="1331">
                  <c:v>2</c:v>
                </c:pt>
                <c:pt idx="1332">
                  <c:v>2.0099999999999998</c:v>
                </c:pt>
                <c:pt idx="1333">
                  <c:v>2.0299999999999998</c:v>
                </c:pt>
                <c:pt idx="1334">
                  <c:v>2.0499999999999998</c:v>
                </c:pt>
                <c:pt idx="1335">
                  <c:v>2.0499999999999998</c:v>
                </c:pt>
                <c:pt idx="1336">
                  <c:v>2.0499999999999998</c:v>
                </c:pt>
                <c:pt idx="1337">
                  <c:v>2.06</c:v>
                </c:pt>
                <c:pt idx="1338">
                  <c:v>2.0499999999999998</c:v>
                </c:pt>
                <c:pt idx="1339">
                  <c:v>2.06</c:v>
                </c:pt>
                <c:pt idx="1340">
                  <c:v>2.02</c:v>
                </c:pt>
                <c:pt idx="1341">
                  <c:v>2.02</c:v>
                </c:pt>
                <c:pt idx="1342">
                  <c:v>2.2599999999999998</c:v>
                </c:pt>
                <c:pt idx="1343">
                  <c:v>2.75</c:v>
                </c:pt>
                <c:pt idx="1344">
                  <c:v>2.04</c:v>
                </c:pt>
                <c:pt idx="1345">
                  <c:v>2.04</c:v>
                </c:pt>
                <c:pt idx="1346">
                  <c:v>2.04</c:v>
                </c:pt>
                <c:pt idx="1347">
                  <c:v>2.0299999999999998</c:v>
                </c:pt>
                <c:pt idx="1348">
                  <c:v>2.0299999999999998</c:v>
                </c:pt>
                <c:pt idx="1349">
                  <c:v>2.0299999999999998</c:v>
                </c:pt>
                <c:pt idx="1350">
                  <c:v>2.02</c:v>
                </c:pt>
                <c:pt idx="1351">
                  <c:v>2.02</c:v>
                </c:pt>
                <c:pt idx="1352">
                  <c:v>2.02</c:v>
                </c:pt>
                <c:pt idx="1353">
                  <c:v>2.02</c:v>
                </c:pt>
                <c:pt idx="1354">
                  <c:v>2.02</c:v>
                </c:pt>
                <c:pt idx="1355">
                  <c:v>2.0299999999999998</c:v>
                </c:pt>
                <c:pt idx="1356">
                  <c:v>2.0299999999999998</c:v>
                </c:pt>
                <c:pt idx="1357">
                  <c:v>2.04</c:v>
                </c:pt>
                <c:pt idx="1358">
                  <c:v>2.04</c:v>
                </c:pt>
                <c:pt idx="1359">
                  <c:v>2.06</c:v>
                </c:pt>
                <c:pt idx="1360">
                  <c:v>2.04</c:v>
                </c:pt>
                <c:pt idx="1361">
                  <c:v>2.04</c:v>
                </c:pt>
                <c:pt idx="1362">
                  <c:v>2.04</c:v>
                </c:pt>
                <c:pt idx="1363">
                  <c:v>2.0299999999999998</c:v>
                </c:pt>
                <c:pt idx="1364">
                  <c:v>1.83</c:v>
                </c:pt>
                <c:pt idx="1365">
                  <c:v>1.84</c:v>
                </c:pt>
                <c:pt idx="1366">
                  <c:v>2.0699999999999998</c:v>
                </c:pt>
                <c:pt idx="1367">
                  <c:v>2.0299999999999998</c:v>
                </c:pt>
                <c:pt idx="1368">
                  <c:v>2.0299999999999998</c:v>
                </c:pt>
                <c:pt idx="1369">
                  <c:v>2.0299999999999998</c:v>
                </c:pt>
                <c:pt idx="1370">
                  <c:v>2.0299999999999998</c:v>
                </c:pt>
                <c:pt idx="1371">
                  <c:v>2.0299999999999998</c:v>
                </c:pt>
                <c:pt idx="1372">
                  <c:v>2.02</c:v>
                </c:pt>
                <c:pt idx="1373">
                  <c:v>2.02</c:v>
                </c:pt>
                <c:pt idx="1374">
                  <c:v>2.0299999999999998</c:v>
                </c:pt>
                <c:pt idx="1375">
                  <c:v>2.0299999999999998</c:v>
                </c:pt>
                <c:pt idx="1376">
                  <c:v>2.0299999999999998</c:v>
                </c:pt>
                <c:pt idx="1377">
                  <c:v>2.0299999999999998</c:v>
                </c:pt>
                <c:pt idx="1378">
                  <c:v>2.0299999999999998</c:v>
                </c:pt>
                <c:pt idx="1379">
                  <c:v>2.04</c:v>
                </c:pt>
                <c:pt idx="1380">
                  <c:v>2.0499999999999998</c:v>
                </c:pt>
                <c:pt idx="1381">
                  <c:v>2.04</c:v>
                </c:pt>
                <c:pt idx="1382">
                  <c:v>2.04</c:v>
                </c:pt>
                <c:pt idx="1383">
                  <c:v>2.09</c:v>
                </c:pt>
                <c:pt idx="1384">
                  <c:v>2.12</c:v>
                </c:pt>
                <c:pt idx="1385">
                  <c:v>1.98</c:v>
                </c:pt>
                <c:pt idx="1386">
                  <c:v>1.72</c:v>
                </c:pt>
                <c:pt idx="1387">
                  <c:v>2.0299999999999998</c:v>
                </c:pt>
                <c:pt idx="1388">
                  <c:v>2.0299999999999998</c:v>
                </c:pt>
                <c:pt idx="1389">
                  <c:v>2.0299999999999998</c:v>
                </c:pt>
                <c:pt idx="1390">
                  <c:v>2.0299999999999998</c:v>
                </c:pt>
                <c:pt idx="1391">
                  <c:v>2.0299999999999998</c:v>
                </c:pt>
                <c:pt idx="1392">
                  <c:v>2.0299999999999998</c:v>
                </c:pt>
                <c:pt idx="1393">
                  <c:v>2.0299999999999998</c:v>
                </c:pt>
                <c:pt idx="1394">
                  <c:v>2.0299999999999998</c:v>
                </c:pt>
                <c:pt idx="1395">
                  <c:v>2.0299999999999998</c:v>
                </c:pt>
                <c:pt idx="1396">
                  <c:v>2.0299999999999998</c:v>
                </c:pt>
                <c:pt idx="1397">
                  <c:v>2.0299999999999998</c:v>
                </c:pt>
                <c:pt idx="1398">
                  <c:v>2.0299999999999998</c:v>
                </c:pt>
                <c:pt idx="1399">
                  <c:v>2.04</c:v>
                </c:pt>
                <c:pt idx="1400">
                  <c:v>2.04</c:v>
                </c:pt>
                <c:pt idx="1401">
                  <c:v>2.0499999999999998</c:v>
                </c:pt>
                <c:pt idx="1402">
                  <c:v>2.13</c:v>
                </c:pt>
                <c:pt idx="1403">
                  <c:v>2.04</c:v>
                </c:pt>
                <c:pt idx="1404">
                  <c:v>2.04</c:v>
                </c:pt>
                <c:pt idx="1405">
                  <c:v>2.11</c:v>
                </c:pt>
                <c:pt idx="1406">
                  <c:v>2.5299999999999998</c:v>
                </c:pt>
                <c:pt idx="1407">
                  <c:v>2.04</c:v>
                </c:pt>
                <c:pt idx="1408">
                  <c:v>2.04</c:v>
                </c:pt>
                <c:pt idx="1409">
                  <c:v>2.04</c:v>
                </c:pt>
                <c:pt idx="1410">
                  <c:v>2.04</c:v>
                </c:pt>
                <c:pt idx="1411">
                  <c:v>2.04</c:v>
                </c:pt>
                <c:pt idx="1412">
                  <c:v>2.04</c:v>
                </c:pt>
                <c:pt idx="1413">
                  <c:v>2.04</c:v>
                </c:pt>
                <c:pt idx="1414">
                  <c:v>2.04</c:v>
                </c:pt>
                <c:pt idx="1415">
                  <c:v>2.04</c:v>
                </c:pt>
                <c:pt idx="1416">
                  <c:v>2.04</c:v>
                </c:pt>
                <c:pt idx="1417">
                  <c:v>2.04</c:v>
                </c:pt>
                <c:pt idx="1418">
                  <c:v>2.04</c:v>
                </c:pt>
                <c:pt idx="1419">
                  <c:v>2.04</c:v>
                </c:pt>
                <c:pt idx="1420">
                  <c:v>2.04</c:v>
                </c:pt>
                <c:pt idx="1421">
                  <c:v>2.04</c:v>
                </c:pt>
                <c:pt idx="1422">
                  <c:v>2.04</c:v>
                </c:pt>
                <c:pt idx="1423">
                  <c:v>2.0499999999999998</c:v>
                </c:pt>
                <c:pt idx="1424">
                  <c:v>2.08</c:v>
                </c:pt>
                <c:pt idx="1425">
                  <c:v>2.0499999999999998</c:v>
                </c:pt>
                <c:pt idx="1426">
                  <c:v>2.0499999999999998</c:v>
                </c:pt>
                <c:pt idx="1427">
                  <c:v>2.0499999999999998</c:v>
                </c:pt>
                <c:pt idx="1428">
                  <c:v>2.0299999999999998</c:v>
                </c:pt>
                <c:pt idx="1429">
                  <c:v>1.93</c:v>
                </c:pt>
                <c:pt idx="1430">
                  <c:v>2</c:v>
                </c:pt>
                <c:pt idx="1431">
                  <c:v>2.16</c:v>
                </c:pt>
                <c:pt idx="1432">
                  <c:v>2.04</c:v>
                </c:pt>
                <c:pt idx="1433">
                  <c:v>2.04</c:v>
                </c:pt>
                <c:pt idx="1434">
                  <c:v>2.04</c:v>
                </c:pt>
                <c:pt idx="1435">
                  <c:v>2.04</c:v>
                </c:pt>
                <c:pt idx="1436">
                  <c:v>2.04</c:v>
                </c:pt>
                <c:pt idx="1437">
                  <c:v>2.04</c:v>
                </c:pt>
                <c:pt idx="1438">
                  <c:v>2.04</c:v>
                </c:pt>
                <c:pt idx="1439">
                  <c:v>2.04</c:v>
                </c:pt>
                <c:pt idx="1440">
                  <c:v>2.04</c:v>
                </c:pt>
                <c:pt idx="1441">
                  <c:v>2.04</c:v>
                </c:pt>
                <c:pt idx="1442">
                  <c:v>2.04</c:v>
                </c:pt>
                <c:pt idx="1443">
                  <c:v>2.04</c:v>
                </c:pt>
                <c:pt idx="1444">
                  <c:v>2.04</c:v>
                </c:pt>
                <c:pt idx="1445">
                  <c:v>2.04</c:v>
                </c:pt>
                <c:pt idx="1446">
                  <c:v>2.06</c:v>
                </c:pt>
                <c:pt idx="1447">
                  <c:v>2.04</c:v>
                </c:pt>
                <c:pt idx="1448">
                  <c:v>2.02</c:v>
                </c:pt>
                <c:pt idx="1449">
                  <c:v>2.0099999999999998</c:v>
                </c:pt>
                <c:pt idx="1450">
                  <c:v>2.16</c:v>
                </c:pt>
                <c:pt idx="1451">
                  <c:v>2.17</c:v>
                </c:pt>
                <c:pt idx="1452">
                  <c:v>2.0499999999999998</c:v>
                </c:pt>
                <c:pt idx="1453">
                  <c:v>2.04</c:v>
                </c:pt>
                <c:pt idx="1454">
                  <c:v>2.04</c:v>
                </c:pt>
                <c:pt idx="1455">
                  <c:v>2.04</c:v>
                </c:pt>
                <c:pt idx="1456">
                  <c:v>2.04</c:v>
                </c:pt>
                <c:pt idx="1457">
                  <c:v>2.04</c:v>
                </c:pt>
                <c:pt idx="1458">
                  <c:v>2.04</c:v>
                </c:pt>
                <c:pt idx="1459">
                  <c:v>2.04</c:v>
                </c:pt>
                <c:pt idx="1460">
                  <c:v>2.04</c:v>
                </c:pt>
                <c:pt idx="1461">
                  <c:v>2.04</c:v>
                </c:pt>
                <c:pt idx="1462">
                  <c:v>2.04</c:v>
                </c:pt>
                <c:pt idx="1463">
                  <c:v>2.04</c:v>
                </c:pt>
                <c:pt idx="1464">
                  <c:v>2.04</c:v>
                </c:pt>
                <c:pt idx="1465">
                  <c:v>2.04</c:v>
                </c:pt>
                <c:pt idx="1466">
                  <c:v>2.04</c:v>
                </c:pt>
                <c:pt idx="1467">
                  <c:v>2.04</c:v>
                </c:pt>
                <c:pt idx="1468">
                  <c:v>2.09</c:v>
                </c:pt>
                <c:pt idx="1469">
                  <c:v>2.0499999999999998</c:v>
                </c:pt>
                <c:pt idx="1470">
                  <c:v>2.0499999999999998</c:v>
                </c:pt>
                <c:pt idx="1471">
                  <c:v>2.1</c:v>
                </c:pt>
                <c:pt idx="1472">
                  <c:v>2.13</c:v>
                </c:pt>
                <c:pt idx="1473">
                  <c:v>2.12</c:v>
                </c:pt>
                <c:pt idx="1474">
                  <c:v>2.33</c:v>
                </c:pt>
                <c:pt idx="1475">
                  <c:v>2.77</c:v>
                </c:pt>
                <c:pt idx="1476">
                  <c:v>2.0499999999999998</c:v>
                </c:pt>
                <c:pt idx="1477">
                  <c:v>2.0499999999999998</c:v>
                </c:pt>
                <c:pt idx="1478">
                  <c:v>2.0499999999999998</c:v>
                </c:pt>
                <c:pt idx="1479">
                  <c:v>2.06</c:v>
                </c:pt>
                <c:pt idx="1480">
                  <c:v>2.06</c:v>
                </c:pt>
                <c:pt idx="1481">
                  <c:v>2.06</c:v>
                </c:pt>
                <c:pt idx="1482">
                  <c:v>2.0499999999999998</c:v>
                </c:pt>
                <c:pt idx="1483">
                  <c:v>2.0499999999999998</c:v>
                </c:pt>
                <c:pt idx="1484">
                  <c:v>2.0499999999999998</c:v>
                </c:pt>
                <c:pt idx="1485">
                  <c:v>2.0499999999999998</c:v>
                </c:pt>
                <c:pt idx="1486">
                  <c:v>2.0499999999999998</c:v>
                </c:pt>
                <c:pt idx="1487">
                  <c:v>2.06</c:v>
                </c:pt>
                <c:pt idx="1488">
                  <c:v>2.06</c:v>
                </c:pt>
                <c:pt idx="1489">
                  <c:v>2.09</c:v>
                </c:pt>
                <c:pt idx="1490">
                  <c:v>2.06</c:v>
                </c:pt>
                <c:pt idx="1491">
                  <c:v>2.06</c:v>
                </c:pt>
                <c:pt idx="1492">
                  <c:v>2.13</c:v>
                </c:pt>
                <c:pt idx="1493">
                  <c:v>2.2400000000000002</c:v>
                </c:pt>
                <c:pt idx="1494">
                  <c:v>2.12</c:v>
                </c:pt>
                <c:pt idx="1495">
                  <c:v>2.02</c:v>
                </c:pt>
                <c:pt idx="1496">
                  <c:v>2.06</c:v>
                </c:pt>
                <c:pt idx="1497">
                  <c:v>2.0699999999999998</c:v>
                </c:pt>
                <c:pt idx="1498">
                  <c:v>2.0699999999999998</c:v>
                </c:pt>
                <c:pt idx="1499">
                  <c:v>2.08</c:v>
                </c:pt>
                <c:pt idx="1500">
                  <c:v>2.08</c:v>
                </c:pt>
                <c:pt idx="1501">
                  <c:v>2.08</c:v>
                </c:pt>
                <c:pt idx="1502">
                  <c:v>2.08</c:v>
                </c:pt>
                <c:pt idx="1503">
                  <c:v>2.0699999999999998</c:v>
                </c:pt>
                <c:pt idx="1504">
                  <c:v>2.0699999999999998</c:v>
                </c:pt>
                <c:pt idx="1505">
                  <c:v>2.08</c:v>
                </c:pt>
                <c:pt idx="1506">
                  <c:v>2.08</c:v>
                </c:pt>
                <c:pt idx="1507">
                  <c:v>2.08</c:v>
                </c:pt>
                <c:pt idx="1508">
                  <c:v>2.08</c:v>
                </c:pt>
                <c:pt idx="1509">
                  <c:v>2.08</c:v>
                </c:pt>
                <c:pt idx="1510">
                  <c:v>2.08</c:v>
                </c:pt>
                <c:pt idx="1511">
                  <c:v>2.1</c:v>
                </c:pt>
                <c:pt idx="1512">
                  <c:v>2.0499999999999998</c:v>
                </c:pt>
                <c:pt idx="1513">
                  <c:v>1.89</c:v>
                </c:pt>
                <c:pt idx="1514">
                  <c:v>1.82</c:v>
                </c:pt>
                <c:pt idx="1515">
                  <c:v>1.83</c:v>
                </c:pt>
                <c:pt idx="1516">
                  <c:v>1.98</c:v>
                </c:pt>
                <c:pt idx="1517">
                  <c:v>2.0699999999999998</c:v>
                </c:pt>
                <c:pt idx="1518">
                  <c:v>2.08</c:v>
                </c:pt>
                <c:pt idx="1519">
                  <c:v>2.09</c:v>
                </c:pt>
                <c:pt idx="1520">
                  <c:v>2.1</c:v>
                </c:pt>
                <c:pt idx="1521">
                  <c:v>2.1</c:v>
                </c:pt>
                <c:pt idx="1522">
                  <c:v>2.09</c:v>
                </c:pt>
                <c:pt idx="1523">
                  <c:v>2.08</c:v>
                </c:pt>
                <c:pt idx="1524">
                  <c:v>2.08</c:v>
                </c:pt>
                <c:pt idx="1525">
                  <c:v>2.08</c:v>
                </c:pt>
                <c:pt idx="1526">
                  <c:v>2.09</c:v>
                </c:pt>
                <c:pt idx="1527">
                  <c:v>2.08</c:v>
                </c:pt>
                <c:pt idx="1528">
                  <c:v>2.08</c:v>
                </c:pt>
                <c:pt idx="1529">
                  <c:v>2.08</c:v>
                </c:pt>
                <c:pt idx="1530">
                  <c:v>2.08</c:v>
                </c:pt>
                <c:pt idx="1531">
                  <c:v>2.08</c:v>
                </c:pt>
                <c:pt idx="1532">
                  <c:v>2.08</c:v>
                </c:pt>
                <c:pt idx="1533">
                  <c:v>2.11</c:v>
                </c:pt>
                <c:pt idx="1534">
                  <c:v>2.21</c:v>
                </c:pt>
                <c:pt idx="1535">
                  <c:v>2.09</c:v>
                </c:pt>
                <c:pt idx="1536">
                  <c:v>2.09</c:v>
                </c:pt>
                <c:pt idx="1537">
                  <c:v>2.08</c:v>
                </c:pt>
                <c:pt idx="1538">
                  <c:v>2.08</c:v>
                </c:pt>
                <c:pt idx="1539">
                  <c:v>2.08</c:v>
                </c:pt>
                <c:pt idx="1540">
                  <c:v>2.09</c:v>
                </c:pt>
                <c:pt idx="1541">
                  <c:v>2.09</c:v>
                </c:pt>
                <c:pt idx="1542">
                  <c:v>2.08</c:v>
                </c:pt>
                <c:pt idx="1543">
                  <c:v>1.98</c:v>
                </c:pt>
                <c:pt idx="1544">
                  <c:v>1.97</c:v>
                </c:pt>
                <c:pt idx="1545">
                  <c:v>2.12</c:v>
                </c:pt>
                <c:pt idx="1546">
                  <c:v>2.14</c:v>
                </c:pt>
                <c:pt idx="1547">
                  <c:v>2.08</c:v>
                </c:pt>
                <c:pt idx="1548">
                  <c:v>2.08</c:v>
                </c:pt>
                <c:pt idx="1549">
                  <c:v>2.08</c:v>
                </c:pt>
                <c:pt idx="1550">
                  <c:v>2.08</c:v>
                </c:pt>
                <c:pt idx="1551">
                  <c:v>2.08</c:v>
                </c:pt>
                <c:pt idx="1552">
                  <c:v>2.08</c:v>
                </c:pt>
                <c:pt idx="1553">
                  <c:v>2.08</c:v>
                </c:pt>
                <c:pt idx="1554">
                  <c:v>2.08</c:v>
                </c:pt>
                <c:pt idx="1555">
                  <c:v>2.09</c:v>
                </c:pt>
                <c:pt idx="1556">
                  <c:v>2.0699999999999998</c:v>
                </c:pt>
                <c:pt idx="1557">
                  <c:v>2.0099999999999998</c:v>
                </c:pt>
                <c:pt idx="1558">
                  <c:v>2.0499999999999998</c:v>
                </c:pt>
                <c:pt idx="1559">
                  <c:v>2.04</c:v>
                </c:pt>
                <c:pt idx="1560">
                  <c:v>2.0299999999999998</c:v>
                </c:pt>
                <c:pt idx="1561">
                  <c:v>2.0699999999999998</c:v>
                </c:pt>
                <c:pt idx="1562">
                  <c:v>2.0699999999999998</c:v>
                </c:pt>
                <c:pt idx="1563">
                  <c:v>2.0699999999999998</c:v>
                </c:pt>
                <c:pt idx="1564">
                  <c:v>2.0699999999999998</c:v>
                </c:pt>
                <c:pt idx="1565">
                  <c:v>2.0699999999999998</c:v>
                </c:pt>
                <c:pt idx="1566">
                  <c:v>2.0699999999999998</c:v>
                </c:pt>
                <c:pt idx="1567">
                  <c:v>2.06</c:v>
                </c:pt>
                <c:pt idx="1568">
                  <c:v>2.06</c:v>
                </c:pt>
                <c:pt idx="1569">
                  <c:v>2.06</c:v>
                </c:pt>
                <c:pt idx="1570">
                  <c:v>2.06</c:v>
                </c:pt>
                <c:pt idx="1571">
                  <c:v>2.06</c:v>
                </c:pt>
                <c:pt idx="1572">
                  <c:v>2.06</c:v>
                </c:pt>
                <c:pt idx="1573">
                  <c:v>2.06</c:v>
                </c:pt>
                <c:pt idx="1574">
                  <c:v>2.06</c:v>
                </c:pt>
                <c:pt idx="1575">
                  <c:v>2.0699999999999998</c:v>
                </c:pt>
                <c:pt idx="1576">
                  <c:v>2.06</c:v>
                </c:pt>
                <c:pt idx="1577">
                  <c:v>2.06</c:v>
                </c:pt>
                <c:pt idx="1578">
                  <c:v>2.0499999999999998</c:v>
                </c:pt>
                <c:pt idx="1579">
                  <c:v>2.02</c:v>
                </c:pt>
                <c:pt idx="1580">
                  <c:v>1.98</c:v>
                </c:pt>
                <c:pt idx="1581">
                  <c:v>2.0099999999999998</c:v>
                </c:pt>
                <c:pt idx="1582">
                  <c:v>2.06</c:v>
                </c:pt>
                <c:pt idx="1583">
                  <c:v>2.06</c:v>
                </c:pt>
                <c:pt idx="1584">
                  <c:v>2.06</c:v>
                </c:pt>
                <c:pt idx="1585">
                  <c:v>2.06</c:v>
                </c:pt>
                <c:pt idx="1586">
                  <c:v>2.06</c:v>
                </c:pt>
                <c:pt idx="1587">
                  <c:v>2.06</c:v>
                </c:pt>
                <c:pt idx="1588">
                  <c:v>2.06</c:v>
                </c:pt>
                <c:pt idx="1589">
                  <c:v>2.06</c:v>
                </c:pt>
                <c:pt idx="1590">
                  <c:v>2.06</c:v>
                </c:pt>
                <c:pt idx="1591">
                  <c:v>2.0699999999999998</c:v>
                </c:pt>
                <c:pt idx="1592">
                  <c:v>2.0699999999999998</c:v>
                </c:pt>
                <c:pt idx="1593">
                  <c:v>2.0699999999999998</c:v>
                </c:pt>
                <c:pt idx="1594">
                  <c:v>2.0699999999999998</c:v>
                </c:pt>
                <c:pt idx="1595">
                  <c:v>2.0699999999999998</c:v>
                </c:pt>
                <c:pt idx="1596">
                  <c:v>2.12</c:v>
                </c:pt>
                <c:pt idx="1597">
                  <c:v>2.0699999999999998</c:v>
                </c:pt>
                <c:pt idx="1598">
                  <c:v>2.0699999999999998</c:v>
                </c:pt>
                <c:pt idx="1599">
                  <c:v>2.0699999999999998</c:v>
                </c:pt>
                <c:pt idx="1600">
                  <c:v>2.0699999999999998</c:v>
                </c:pt>
                <c:pt idx="1601">
                  <c:v>2.0699999999999998</c:v>
                </c:pt>
                <c:pt idx="1602">
                  <c:v>2.06</c:v>
                </c:pt>
                <c:pt idx="1603">
                  <c:v>2.09</c:v>
                </c:pt>
                <c:pt idx="1604">
                  <c:v>2.1800000000000002</c:v>
                </c:pt>
                <c:pt idx="1605">
                  <c:v>2.0699999999999998</c:v>
                </c:pt>
                <c:pt idx="1606">
                  <c:v>2.0699999999999998</c:v>
                </c:pt>
                <c:pt idx="1607">
                  <c:v>2.0699999999999998</c:v>
                </c:pt>
                <c:pt idx="1608">
                  <c:v>2.0699999999999998</c:v>
                </c:pt>
                <c:pt idx="1609">
                  <c:v>2.0699999999999998</c:v>
                </c:pt>
                <c:pt idx="1610">
                  <c:v>2.06</c:v>
                </c:pt>
                <c:pt idx="1611">
                  <c:v>2.06</c:v>
                </c:pt>
                <c:pt idx="1612">
                  <c:v>2.06</c:v>
                </c:pt>
                <c:pt idx="1613">
                  <c:v>2.0699999999999998</c:v>
                </c:pt>
                <c:pt idx="1614">
                  <c:v>2.0699999999999998</c:v>
                </c:pt>
                <c:pt idx="1615">
                  <c:v>2.0699999999999998</c:v>
                </c:pt>
                <c:pt idx="1616">
                  <c:v>2.08</c:v>
                </c:pt>
                <c:pt idx="1617">
                  <c:v>2.09</c:v>
                </c:pt>
                <c:pt idx="1618">
                  <c:v>2.0699999999999998</c:v>
                </c:pt>
                <c:pt idx="1619">
                  <c:v>2.0699999999999998</c:v>
                </c:pt>
                <c:pt idx="1620">
                  <c:v>2.08</c:v>
                </c:pt>
                <c:pt idx="1621">
                  <c:v>2.09</c:v>
                </c:pt>
                <c:pt idx="1622">
                  <c:v>2.06</c:v>
                </c:pt>
                <c:pt idx="1623">
                  <c:v>2.0499999999999998</c:v>
                </c:pt>
                <c:pt idx="1624">
                  <c:v>1.99</c:v>
                </c:pt>
                <c:pt idx="1625">
                  <c:v>2.0699999999999998</c:v>
                </c:pt>
                <c:pt idx="1626">
                  <c:v>2.0699999999999998</c:v>
                </c:pt>
                <c:pt idx="1627">
                  <c:v>2.0699999999999998</c:v>
                </c:pt>
                <c:pt idx="1628">
                  <c:v>2.0699999999999998</c:v>
                </c:pt>
                <c:pt idx="1629">
                  <c:v>2.0699999999999998</c:v>
                </c:pt>
                <c:pt idx="1630">
                  <c:v>2.0699999999999998</c:v>
                </c:pt>
                <c:pt idx="1631">
                  <c:v>2.0699999999999998</c:v>
                </c:pt>
                <c:pt idx="1632">
                  <c:v>2.0699999999999998</c:v>
                </c:pt>
                <c:pt idx="1633">
                  <c:v>2.0699999999999998</c:v>
                </c:pt>
                <c:pt idx="1634">
                  <c:v>2.08</c:v>
                </c:pt>
                <c:pt idx="1635">
                  <c:v>2.08</c:v>
                </c:pt>
                <c:pt idx="1636">
                  <c:v>2.08</c:v>
                </c:pt>
                <c:pt idx="1637">
                  <c:v>2.08</c:v>
                </c:pt>
                <c:pt idx="1638">
                  <c:v>2.08</c:v>
                </c:pt>
                <c:pt idx="1639">
                  <c:v>2.1</c:v>
                </c:pt>
                <c:pt idx="1640">
                  <c:v>2.08</c:v>
                </c:pt>
                <c:pt idx="1641">
                  <c:v>2.0699999999999998</c:v>
                </c:pt>
                <c:pt idx="1642">
                  <c:v>2.04</c:v>
                </c:pt>
                <c:pt idx="1643">
                  <c:v>1.98</c:v>
                </c:pt>
                <c:pt idx="1644">
                  <c:v>1.78</c:v>
                </c:pt>
                <c:pt idx="1645">
                  <c:v>2.08</c:v>
                </c:pt>
                <c:pt idx="1646">
                  <c:v>2.08</c:v>
                </c:pt>
                <c:pt idx="1647">
                  <c:v>2.08</c:v>
                </c:pt>
                <c:pt idx="1648">
                  <c:v>2.08</c:v>
                </c:pt>
                <c:pt idx="1649">
                  <c:v>2.08</c:v>
                </c:pt>
                <c:pt idx="1650">
                  <c:v>2.0699999999999998</c:v>
                </c:pt>
                <c:pt idx="1651">
                  <c:v>2.0699999999999998</c:v>
                </c:pt>
                <c:pt idx="1652">
                  <c:v>2.0699999999999998</c:v>
                </c:pt>
                <c:pt idx="1653">
                  <c:v>2.0699999999999998</c:v>
                </c:pt>
                <c:pt idx="1654">
                  <c:v>2.0699999999999998</c:v>
                </c:pt>
                <c:pt idx="1655">
                  <c:v>2.0699999999999998</c:v>
                </c:pt>
                <c:pt idx="1656">
                  <c:v>2.0699999999999998</c:v>
                </c:pt>
                <c:pt idx="1657">
                  <c:v>2.08</c:v>
                </c:pt>
                <c:pt idx="1658">
                  <c:v>2.09</c:v>
                </c:pt>
                <c:pt idx="1659">
                  <c:v>2.09</c:v>
                </c:pt>
                <c:pt idx="1660">
                  <c:v>2.1</c:v>
                </c:pt>
                <c:pt idx="1661">
                  <c:v>2.17</c:v>
                </c:pt>
                <c:pt idx="1662">
                  <c:v>2.08</c:v>
                </c:pt>
                <c:pt idx="1663">
                  <c:v>2.08</c:v>
                </c:pt>
                <c:pt idx="1664">
                  <c:v>2.08</c:v>
                </c:pt>
                <c:pt idx="1665">
                  <c:v>2.08</c:v>
                </c:pt>
                <c:pt idx="1666">
                  <c:v>2.11</c:v>
                </c:pt>
                <c:pt idx="1667">
                  <c:v>2.0299999999999998</c:v>
                </c:pt>
                <c:pt idx="1668">
                  <c:v>1.97</c:v>
                </c:pt>
                <c:pt idx="1669">
                  <c:v>2.06</c:v>
                </c:pt>
                <c:pt idx="1670">
                  <c:v>2.08</c:v>
                </c:pt>
                <c:pt idx="1671">
                  <c:v>2.08</c:v>
                </c:pt>
                <c:pt idx="1672">
                  <c:v>2.08</c:v>
                </c:pt>
                <c:pt idx="1673">
                  <c:v>2.08</c:v>
                </c:pt>
                <c:pt idx="1674">
                  <c:v>2.08</c:v>
                </c:pt>
                <c:pt idx="1675">
                  <c:v>2.0699999999999998</c:v>
                </c:pt>
                <c:pt idx="1676">
                  <c:v>2.0699999999999998</c:v>
                </c:pt>
                <c:pt idx="1677">
                  <c:v>2.0699999999999998</c:v>
                </c:pt>
                <c:pt idx="1678">
                  <c:v>2.08</c:v>
                </c:pt>
                <c:pt idx="1679">
                  <c:v>2.08</c:v>
                </c:pt>
                <c:pt idx="1680">
                  <c:v>2.08</c:v>
                </c:pt>
                <c:pt idx="1681">
                  <c:v>2.08</c:v>
                </c:pt>
                <c:pt idx="1682">
                  <c:v>2.11</c:v>
                </c:pt>
                <c:pt idx="1683">
                  <c:v>2.08</c:v>
                </c:pt>
                <c:pt idx="1684">
                  <c:v>2.08</c:v>
                </c:pt>
                <c:pt idx="1685">
                  <c:v>2.08</c:v>
                </c:pt>
                <c:pt idx="1686">
                  <c:v>2.09</c:v>
                </c:pt>
                <c:pt idx="1687">
                  <c:v>2.09</c:v>
                </c:pt>
                <c:pt idx="1688">
                  <c:v>2.0699999999999998</c:v>
                </c:pt>
                <c:pt idx="1689">
                  <c:v>1.63</c:v>
                </c:pt>
                <c:pt idx="1690">
                  <c:v>2.08</c:v>
                </c:pt>
                <c:pt idx="1691">
                  <c:v>2.08</c:v>
                </c:pt>
                <c:pt idx="1692">
                  <c:v>2.08</c:v>
                </c:pt>
                <c:pt idx="1693">
                  <c:v>2.08</c:v>
                </c:pt>
                <c:pt idx="1694">
                  <c:v>2.08</c:v>
                </c:pt>
                <c:pt idx="1695">
                  <c:v>2.08</c:v>
                </c:pt>
                <c:pt idx="1696">
                  <c:v>2.08</c:v>
                </c:pt>
                <c:pt idx="1697">
                  <c:v>2.08</c:v>
                </c:pt>
                <c:pt idx="1698">
                  <c:v>2.08</c:v>
                </c:pt>
                <c:pt idx="1699">
                  <c:v>2.08</c:v>
                </c:pt>
                <c:pt idx="1700">
                  <c:v>2.08</c:v>
                </c:pt>
                <c:pt idx="1701">
                  <c:v>2.08</c:v>
                </c:pt>
                <c:pt idx="1702">
                  <c:v>2.08</c:v>
                </c:pt>
                <c:pt idx="1703">
                  <c:v>2.08</c:v>
                </c:pt>
                <c:pt idx="1704">
                  <c:v>2.0699999999999998</c:v>
                </c:pt>
                <c:pt idx="1705">
                  <c:v>2.09</c:v>
                </c:pt>
                <c:pt idx="1706">
                  <c:v>2.08</c:v>
                </c:pt>
                <c:pt idx="1707">
                  <c:v>2.09</c:v>
                </c:pt>
                <c:pt idx="1708">
                  <c:v>2.17</c:v>
                </c:pt>
                <c:pt idx="1709">
                  <c:v>2.1800000000000002</c:v>
                </c:pt>
                <c:pt idx="1710">
                  <c:v>2.08</c:v>
                </c:pt>
                <c:pt idx="1711">
                  <c:v>2.08</c:v>
                </c:pt>
                <c:pt idx="1712">
                  <c:v>2.08</c:v>
                </c:pt>
                <c:pt idx="1713">
                  <c:v>2.08</c:v>
                </c:pt>
                <c:pt idx="1714">
                  <c:v>2.08</c:v>
                </c:pt>
                <c:pt idx="1715">
                  <c:v>2.08</c:v>
                </c:pt>
                <c:pt idx="1716">
                  <c:v>2.08</c:v>
                </c:pt>
                <c:pt idx="1717">
                  <c:v>2.08</c:v>
                </c:pt>
                <c:pt idx="1718">
                  <c:v>2.08</c:v>
                </c:pt>
                <c:pt idx="1719">
                  <c:v>2.08</c:v>
                </c:pt>
                <c:pt idx="1720">
                  <c:v>2.08</c:v>
                </c:pt>
                <c:pt idx="1721">
                  <c:v>2.08</c:v>
                </c:pt>
                <c:pt idx="1722">
                  <c:v>2.08</c:v>
                </c:pt>
                <c:pt idx="1723">
                  <c:v>2.08</c:v>
                </c:pt>
                <c:pt idx="1724">
                  <c:v>2.09</c:v>
                </c:pt>
                <c:pt idx="1725">
                  <c:v>2.09</c:v>
                </c:pt>
                <c:pt idx="1726">
                  <c:v>2.1</c:v>
                </c:pt>
                <c:pt idx="1727">
                  <c:v>2.15</c:v>
                </c:pt>
                <c:pt idx="1728">
                  <c:v>2.09</c:v>
                </c:pt>
                <c:pt idx="1729">
                  <c:v>2.09</c:v>
                </c:pt>
                <c:pt idx="1730">
                  <c:v>2.1</c:v>
                </c:pt>
                <c:pt idx="1731">
                  <c:v>2.1</c:v>
                </c:pt>
                <c:pt idx="1732">
                  <c:v>2.02</c:v>
                </c:pt>
                <c:pt idx="1733">
                  <c:v>1.96</c:v>
                </c:pt>
                <c:pt idx="1734">
                  <c:v>1.93</c:v>
                </c:pt>
                <c:pt idx="1735">
                  <c:v>2.08</c:v>
                </c:pt>
                <c:pt idx="1736">
                  <c:v>2.08</c:v>
                </c:pt>
                <c:pt idx="1737">
                  <c:v>2.08</c:v>
                </c:pt>
                <c:pt idx="1738">
                  <c:v>2.08</c:v>
                </c:pt>
                <c:pt idx="1739">
                  <c:v>2.08</c:v>
                </c:pt>
                <c:pt idx="1740">
                  <c:v>2.08</c:v>
                </c:pt>
                <c:pt idx="1741">
                  <c:v>2.08</c:v>
                </c:pt>
                <c:pt idx="1742">
                  <c:v>2.08</c:v>
                </c:pt>
                <c:pt idx="1743">
                  <c:v>2.08</c:v>
                </c:pt>
                <c:pt idx="1744">
                  <c:v>2.08</c:v>
                </c:pt>
                <c:pt idx="1745">
                  <c:v>2.08</c:v>
                </c:pt>
                <c:pt idx="1746">
                  <c:v>2.08</c:v>
                </c:pt>
                <c:pt idx="1747">
                  <c:v>2.0699999999999998</c:v>
                </c:pt>
                <c:pt idx="1748">
                  <c:v>2.09</c:v>
                </c:pt>
                <c:pt idx="1749">
                  <c:v>2.0699999999999998</c:v>
                </c:pt>
                <c:pt idx="1750">
                  <c:v>2.0699999999999998</c:v>
                </c:pt>
                <c:pt idx="1751">
                  <c:v>2.0699999999999998</c:v>
                </c:pt>
                <c:pt idx="1752">
                  <c:v>2.09</c:v>
                </c:pt>
                <c:pt idx="1753">
                  <c:v>2.09</c:v>
                </c:pt>
                <c:pt idx="1754">
                  <c:v>1.87</c:v>
                </c:pt>
                <c:pt idx="1755">
                  <c:v>2.08</c:v>
                </c:pt>
                <c:pt idx="1756">
                  <c:v>2.08</c:v>
                </c:pt>
                <c:pt idx="1757">
                  <c:v>2.08</c:v>
                </c:pt>
                <c:pt idx="1758">
                  <c:v>2.08</c:v>
                </c:pt>
                <c:pt idx="1759">
                  <c:v>2.08</c:v>
                </c:pt>
                <c:pt idx="1760">
                  <c:v>2.08</c:v>
                </c:pt>
                <c:pt idx="1761">
                  <c:v>2.08</c:v>
                </c:pt>
                <c:pt idx="1762">
                  <c:v>2.08</c:v>
                </c:pt>
                <c:pt idx="1763">
                  <c:v>2.11</c:v>
                </c:pt>
                <c:pt idx="1764">
                  <c:v>2.16</c:v>
                </c:pt>
                <c:pt idx="1765">
                  <c:v>2.19</c:v>
                </c:pt>
                <c:pt idx="1766">
                  <c:v>2.16</c:v>
                </c:pt>
                <c:pt idx="1767">
                  <c:v>2.11</c:v>
                </c:pt>
                <c:pt idx="1768">
                  <c:v>2.11</c:v>
                </c:pt>
                <c:pt idx="1769">
                  <c:v>2.09</c:v>
                </c:pt>
                <c:pt idx="1770">
                  <c:v>2.06</c:v>
                </c:pt>
                <c:pt idx="1771">
                  <c:v>2.04</c:v>
                </c:pt>
                <c:pt idx="1772">
                  <c:v>1.8</c:v>
                </c:pt>
                <c:pt idx="1773">
                  <c:v>1.85</c:v>
                </c:pt>
                <c:pt idx="1774">
                  <c:v>2.3199999999999998</c:v>
                </c:pt>
                <c:pt idx="1775">
                  <c:v>2.3199999999999998</c:v>
                </c:pt>
                <c:pt idx="1776">
                  <c:v>2.3199999999999998</c:v>
                </c:pt>
                <c:pt idx="1777">
                  <c:v>2.3199999999999998</c:v>
                </c:pt>
                <c:pt idx="1778">
                  <c:v>2.3199999999999998</c:v>
                </c:pt>
                <c:pt idx="1779">
                  <c:v>2.3199999999999998</c:v>
                </c:pt>
                <c:pt idx="1780">
                  <c:v>2.3199999999999998</c:v>
                </c:pt>
                <c:pt idx="1781">
                  <c:v>2.3199999999999998</c:v>
                </c:pt>
                <c:pt idx="1782">
                  <c:v>2.33</c:v>
                </c:pt>
                <c:pt idx="1783">
                  <c:v>2.33</c:v>
                </c:pt>
                <c:pt idx="1784">
                  <c:v>2.33</c:v>
                </c:pt>
                <c:pt idx="1785">
                  <c:v>2.34</c:v>
                </c:pt>
                <c:pt idx="1786">
                  <c:v>2.4</c:v>
                </c:pt>
                <c:pt idx="1787">
                  <c:v>2.35</c:v>
                </c:pt>
                <c:pt idx="1788">
                  <c:v>2.35</c:v>
                </c:pt>
                <c:pt idx="1789">
                  <c:v>2.35</c:v>
                </c:pt>
                <c:pt idx="1790">
                  <c:v>2.34</c:v>
                </c:pt>
                <c:pt idx="1791">
                  <c:v>2.42</c:v>
                </c:pt>
                <c:pt idx="1792">
                  <c:v>2.35</c:v>
                </c:pt>
                <c:pt idx="1793">
                  <c:v>2.34</c:v>
                </c:pt>
                <c:pt idx="1794">
                  <c:v>2.34</c:v>
                </c:pt>
                <c:pt idx="1795">
                  <c:v>2.34</c:v>
                </c:pt>
                <c:pt idx="1796">
                  <c:v>2.34</c:v>
                </c:pt>
                <c:pt idx="1797">
                  <c:v>2.34</c:v>
                </c:pt>
                <c:pt idx="1798">
                  <c:v>2.34</c:v>
                </c:pt>
                <c:pt idx="1799">
                  <c:v>2.34</c:v>
                </c:pt>
                <c:pt idx="1800">
                  <c:v>2.3199999999999998</c:v>
                </c:pt>
                <c:pt idx="1801">
                  <c:v>2.21</c:v>
                </c:pt>
                <c:pt idx="1802">
                  <c:v>2.31</c:v>
                </c:pt>
                <c:pt idx="1803">
                  <c:v>2.2999999999999998</c:v>
                </c:pt>
                <c:pt idx="1804">
                  <c:v>2.33</c:v>
                </c:pt>
                <c:pt idx="1805">
                  <c:v>2.33</c:v>
                </c:pt>
                <c:pt idx="1806">
                  <c:v>2.33</c:v>
                </c:pt>
                <c:pt idx="1807">
                  <c:v>2.33</c:v>
                </c:pt>
                <c:pt idx="1808">
                  <c:v>2.33</c:v>
                </c:pt>
                <c:pt idx="1809">
                  <c:v>2.33</c:v>
                </c:pt>
                <c:pt idx="1810">
                  <c:v>2.33</c:v>
                </c:pt>
                <c:pt idx="1811">
                  <c:v>2.33</c:v>
                </c:pt>
                <c:pt idx="1812">
                  <c:v>2.33</c:v>
                </c:pt>
                <c:pt idx="1813">
                  <c:v>2.34</c:v>
                </c:pt>
                <c:pt idx="1814">
                  <c:v>2.33</c:v>
                </c:pt>
                <c:pt idx="1815">
                  <c:v>2.34</c:v>
                </c:pt>
                <c:pt idx="1816">
                  <c:v>2.4</c:v>
                </c:pt>
                <c:pt idx="1817">
                  <c:v>2.38</c:v>
                </c:pt>
                <c:pt idx="1818">
                  <c:v>2.34</c:v>
                </c:pt>
                <c:pt idx="1819">
                  <c:v>2.34</c:v>
                </c:pt>
                <c:pt idx="1820">
                  <c:v>2.34</c:v>
                </c:pt>
                <c:pt idx="1821">
                  <c:v>2.34</c:v>
                </c:pt>
                <c:pt idx="1822">
                  <c:v>2.34</c:v>
                </c:pt>
                <c:pt idx="1823">
                  <c:v>2.34</c:v>
                </c:pt>
                <c:pt idx="1824">
                  <c:v>2.34</c:v>
                </c:pt>
                <c:pt idx="1825">
                  <c:v>2.34</c:v>
                </c:pt>
                <c:pt idx="1826">
                  <c:v>2.34</c:v>
                </c:pt>
                <c:pt idx="1827">
                  <c:v>2.34</c:v>
                </c:pt>
                <c:pt idx="1828">
                  <c:v>2.34</c:v>
                </c:pt>
                <c:pt idx="1829">
                  <c:v>2.34</c:v>
                </c:pt>
                <c:pt idx="1830">
                  <c:v>2.35</c:v>
                </c:pt>
                <c:pt idx="1831">
                  <c:v>2.35</c:v>
                </c:pt>
                <c:pt idx="1832">
                  <c:v>2.36</c:v>
                </c:pt>
                <c:pt idx="1833">
                  <c:v>2.4</c:v>
                </c:pt>
                <c:pt idx="1834">
                  <c:v>2.37</c:v>
                </c:pt>
                <c:pt idx="1835">
                  <c:v>2.38</c:v>
                </c:pt>
                <c:pt idx="1836">
                  <c:v>2.35</c:v>
                </c:pt>
                <c:pt idx="1837">
                  <c:v>2.29</c:v>
                </c:pt>
                <c:pt idx="1838">
                  <c:v>2.08</c:v>
                </c:pt>
                <c:pt idx="1839">
                  <c:v>2.58</c:v>
                </c:pt>
                <c:pt idx="1840">
                  <c:v>2.58</c:v>
                </c:pt>
                <c:pt idx="1841">
                  <c:v>2.58</c:v>
                </c:pt>
                <c:pt idx="1842">
                  <c:v>2.58</c:v>
                </c:pt>
                <c:pt idx="1843">
                  <c:v>2.58</c:v>
                </c:pt>
                <c:pt idx="1844">
                  <c:v>2.58</c:v>
                </c:pt>
                <c:pt idx="1845">
                  <c:v>2.58</c:v>
                </c:pt>
                <c:pt idx="1846">
                  <c:v>2.58</c:v>
                </c:pt>
                <c:pt idx="1847">
                  <c:v>2.58</c:v>
                </c:pt>
                <c:pt idx="1848">
                  <c:v>2.58</c:v>
                </c:pt>
                <c:pt idx="1849">
                  <c:v>2.58</c:v>
                </c:pt>
                <c:pt idx="1850">
                  <c:v>2.58</c:v>
                </c:pt>
                <c:pt idx="1851">
                  <c:v>2.58</c:v>
                </c:pt>
                <c:pt idx="1852">
                  <c:v>2.58</c:v>
                </c:pt>
                <c:pt idx="1853">
                  <c:v>2.58</c:v>
                </c:pt>
                <c:pt idx="1854">
                  <c:v>2.58</c:v>
                </c:pt>
                <c:pt idx="1855">
                  <c:v>2.59</c:v>
                </c:pt>
                <c:pt idx="1856">
                  <c:v>2.62</c:v>
                </c:pt>
                <c:pt idx="1857">
                  <c:v>2.59</c:v>
                </c:pt>
                <c:pt idx="1858">
                  <c:v>2.59</c:v>
                </c:pt>
                <c:pt idx="1859">
                  <c:v>2.61</c:v>
                </c:pt>
                <c:pt idx="1860">
                  <c:v>2.67</c:v>
                </c:pt>
                <c:pt idx="1861">
                  <c:v>2.69</c:v>
                </c:pt>
                <c:pt idx="1862">
                  <c:v>2.71</c:v>
                </c:pt>
                <c:pt idx="1863">
                  <c:v>2.63</c:v>
                </c:pt>
                <c:pt idx="1864">
                  <c:v>2.6</c:v>
                </c:pt>
                <c:pt idx="1865">
                  <c:v>2.61</c:v>
                </c:pt>
                <c:pt idx="1866">
                  <c:v>2.61</c:v>
                </c:pt>
                <c:pt idx="1867">
                  <c:v>2.61</c:v>
                </c:pt>
                <c:pt idx="1868">
                  <c:v>2.62</c:v>
                </c:pt>
                <c:pt idx="1869">
                  <c:v>2.62</c:v>
                </c:pt>
                <c:pt idx="1870">
                  <c:v>2.62</c:v>
                </c:pt>
                <c:pt idx="1871">
                  <c:v>2.63</c:v>
                </c:pt>
                <c:pt idx="1872">
                  <c:v>2.63</c:v>
                </c:pt>
                <c:pt idx="1873">
                  <c:v>2.62</c:v>
                </c:pt>
                <c:pt idx="1874">
                  <c:v>2.65</c:v>
                </c:pt>
                <c:pt idx="1875">
                  <c:v>2.62</c:v>
                </c:pt>
                <c:pt idx="1876">
                  <c:v>2.59</c:v>
                </c:pt>
                <c:pt idx="1877">
                  <c:v>2.4900000000000002</c:v>
                </c:pt>
                <c:pt idx="1878">
                  <c:v>2.39</c:v>
                </c:pt>
                <c:pt idx="1879">
                  <c:v>2.4300000000000002</c:v>
                </c:pt>
                <c:pt idx="1880">
                  <c:v>2.52</c:v>
                </c:pt>
                <c:pt idx="1881">
                  <c:v>2.6</c:v>
                </c:pt>
                <c:pt idx="1882">
                  <c:v>2.61</c:v>
                </c:pt>
                <c:pt idx="1883">
                  <c:v>2.61</c:v>
                </c:pt>
                <c:pt idx="1884">
                  <c:v>2.61</c:v>
                </c:pt>
                <c:pt idx="1885">
                  <c:v>2.6</c:v>
                </c:pt>
                <c:pt idx="1886">
                  <c:v>2.6</c:v>
                </c:pt>
                <c:pt idx="1887">
                  <c:v>2.6</c:v>
                </c:pt>
                <c:pt idx="1888">
                  <c:v>2.6</c:v>
                </c:pt>
                <c:pt idx="1889">
                  <c:v>2.6</c:v>
                </c:pt>
                <c:pt idx="1890">
                  <c:v>2.6</c:v>
                </c:pt>
                <c:pt idx="1891">
                  <c:v>2.6</c:v>
                </c:pt>
                <c:pt idx="1892">
                  <c:v>2.6</c:v>
                </c:pt>
                <c:pt idx="1893">
                  <c:v>2.6</c:v>
                </c:pt>
                <c:pt idx="1894">
                  <c:v>2.6</c:v>
                </c:pt>
                <c:pt idx="1895">
                  <c:v>2.6</c:v>
                </c:pt>
                <c:pt idx="1896">
                  <c:v>2.62</c:v>
                </c:pt>
                <c:pt idx="1897">
                  <c:v>2.6</c:v>
                </c:pt>
                <c:pt idx="1898">
                  <c:v>2.59</c:v>
                </c:pt>
                <c:pt idx="1899">
                  <c:v>2.57</c:v>
                </c:pt>
                <c:pt idx="1900">
                  <c:v>2.5499999999999998</c:v>
                </c:pt>
                <c:pt idx="1901">
                  <c:v>2.4700000000000002</c:v>
                </c:pt>
                <c:pt idx="1902">
                  <c:v>2.4700000000000002</c:v>
                </c:pt>
                <c:pt idx="1903">
                  <c:v>2.48</c:v>
                </c:pt>
                <c:pt idx="1904">
                  <c:v>2.5</c:v>
                </c:pt>
                <c:pt idx="1905">
                  <c:v>2.52</c:v>
                </c:pt>
                <c:pt idx="1906">
                  <c:v>2.5</c:v>
                </c:pt>
                <c:pt idx="1907">
                  <c:v>2.84</c:v>
                </c:pt>
                <c:pt idx="1908">
                  <c:v>2.84</c:v>
                </c:pt>
                <c:pt idx="1909">
                  <c:v>2.84</c:v>
                </c:pt>
                <c:pt idx="1910">
                  <c:v>2.84</c:v>
                </c:pt>
                <c:pt idx="1911">
                  <c:v>2.84</c:v>
                </c:pt>
                <c:pt idx="1912">
                  <c:v>2.83</c:v>
                </c:pt>
                <c:pt idx="1913">
                  <c:v>2.83</c:v>
                </c:pt>
                <c:pt idx="1914">
                  <c:v>2.83</c:v>
                </c:pt>
                <c:pt idx="1915">
                  <c:v>2.84</c:v>
                </c:pt>
                <c:pt idx="1916">
                  <c:v>2.84</c:v>
                </c:pt>
                <c:pt idx="1917">
                  <c:v>2.84</c:v>
                </c:pt>
                <c:pt idx="1918">
                  <c:v>2.89</c:v>
                </c:pt>
                <c:pt idx="1919">
                  <c:v>2.83</c:v>
                </c:pt>
                <c:pt idx="1920">
                  <c:v>2.82</c:v>
                </c:pt>
                <c:pt idx="1921">
                  <c:v>2.81</c:v>
                </c:pt>
                <c:pt idx="1922">
                  <c:v>2.8</c:v>
                </c:pt>
                <c:pt idx="1923">
                  <c:v>2.78</c:v>
                </c:pt>
                <c:pt idx="1924">
                  <c:v>2.78</c:v>
                </c:pt>
                <c:pt idx="1925">
                  <c:v>2.76</c:v>
                </c:pt>
                <c:pt idx="1926">
                  <c:v>2.83</c:v>
                </c:pt>
                <c:pt idx="1927">
                  <c:v>2.83</c:v>
                </c:pt>
                <c:pt idx="1928">
                  <c:v>2.83</c:v>
                </c:pt>
                <c:pt idx="1929">
                  <c:v>2.83</c:v>
                </c:pt>
                <c:pt idx="1930">
                  <c:v>2.83</c:v>
                </c:pt>
                <c:pt idx="1931">
                  <c:v>2.83</c:v>
                </c:pt>
                <c:pt idx="1932">
                  <c:v>2.83</c:v>
                </c:pt>
                <c:pt idx="1933">
                  <c:v>2.83</c:v>
                </c:pt>
                <c:pt idx="1934">
                  <c:v>2.83</c:v>
                </c:pt>
                <c:pt idx="1935">
                  <c:v>2.83</c:v>
                </c:pt>
                <c:pt idx="1936">
                  <c:v>2.82</c:v>
                </c:pt>
                <c:pt idx="1937">
                  <c:v>2.81</c:v>
                </c:pt>
                <c:pt idx="1938">
                  <c:v>2.78</c:v>
                </c:pt>
                <c:pt idx="1939">
                  <c:v>2.8</c:v>
                </c:pt>
                <c:pt idx="1940">
                  <c:v>2.78</c:v>
                </c:pt>
                <c:pt idx="1941">
                  <c:v>2.77</c:v>
                </c:pt>
                <c:pt idx="1942">
                  <c:v>2.75</c:v>
                </c:pt>
                <c:pt idx="1943">
                  <c:v>2.7</c:v>
                </c:pt>
                <c:pt idx="1944">
                  <c:v>2.68</c:v>
                </c:pt>
                <c:pt idx="1945">
                  <c:v>2.73</c:v>
                </c:pt>
                <c:pt idx="1946">
                  <c:v>3.07</c:v>
                </c:pt>
                <c:pt idx="1947">
                  <c:v>3.07</c:v>
                </c:pt>
                <c:pt idx="1948">
                  <c:v>3.07</c:v>
                </c:pt>
                <c:pt idx="1949">
                  <c:v>3.07</c:v>
                </c:pt>
                <c:pt idx="1950">
                  <c:v>3.07</c:v>
                </c:pt>
                <c:pt idx="1951">
                  <c:v>3.07</c:v>
                </c:pt>
                <c:pt idx="1952">
                  <c:v>3.07</c:v>
                </c:pt>
                <c:pt idx="1953">
                  <c:v>3.07</c:v>
                </c:pt>
                <c:pt idx="1954">
                  <c:v>3.07</c:v>
                </c:pt>
                <c:pt idx="1955">
                  <c:v>3.06</c:v>
                </c:pt>
                <c:pt idx="1956">
                  <c:v>3.05</c:v>
                </c:pt>
                <c:pt idx="1957">
                  <c:v>3.03</c:v>
                </c:pt>
                <c:pt idx="1958">
                  <c:v>3.01</c:v>
                </c:pt>
                <c:pt idx="1959">
                  <c:v>3.01</c:v>
                </c:pt>
                <c:pt idx="1960">
                  <c:v>3.01</c:v>
                </c:pt>
                <c:pt idx="1961">
                  <c:v>3.02</c:v>
                </c:pt>
                <c:pt idx="1962">
                  <c:v>3.04</c:v>
                </c:pt>
                <c:pt idx="1963">
                  <c:v>3.01</c:v>
                </c:pt>
                <c:pt idx="1964">
                  <c:v>2.98</c:v>
                </c:pt>
                <c:pt idx="1965">
                  <c:v>3.04</c:v>
                </c:pt>
                <c:pt idx="1966">
                  <c:v>3.06</c:v>
                </c:pt>
                <c:pt idx="1967">
                  <c:v>3.06</c:v>
                </c:pt>
                <c:pt idx="1968">
                  <c:v>3.06</c:v>
                </c:pt>
                <c:pt idx="1969">
                  <c:v>3.06</c:v>
                </c:pt>
                <c:pt idx="1970">
                  <c:v>3.06</c:v>
                </c:pt>
                <c:pt idx="1971">
                  <c:v>3.05</c:v>
                </c:pt>
                <c:pt idx="1972">
                  <c:v>3.05</c:v>
                </c:pt>
                <c:pt idx="1973">
                  <c:v>3.05</c:v>
                </c:pt>
                <c:pt idx="1974">
                  <c:v>3.05</c:v>
                </c:pt>
                <c:pt idx="1975">
                  <c:v>3.04</c:v>
                </c:pt>
                <c:pt idx="1976">
                  <c:v>3.04</c:v>
                </c:pt>
                <c:pt idx="1977">
                  <c:v>3.02</c:v>
                </c:pt>
                <c:pt idx="1978">
                  <c:v>3.01</c:v>
                </c:pt>
                <c:pt idx="1979">
                  <c:v>3.01</c:v>
                </c:pt>
                <c:pt idx="1980">
                  <c:v>3.02</c:v>
                </c:pt>
                <c:pt idx="1981">
                  <c:v>3.04</c:v>
                </c:pt>
                <c:pt idx="1982">
                  <c:v>3.05</c:v>
                </c:pt>
                <c:pt idx="1983">
                  <c:v>3.1</c:v>
                </c:pt>
                <c:pt idx="1984">
                  <c:v>3.06</c:v>
                </c:pt>
                <c:pt idx="1985">
                  <c:v>3.1</c:v>
                </c:pt>
                <c:pt idx="1986">
                  <c:v>3.19</c:v>
                </c:pt>
                <c:pt idx="1987">
                  <c:v>3.24</c:v>
                </c:pt>
                <c:pt idx="1988">
                  <c:v>3.25</c:v>
                </c:pt>
                <c:pt idx="1989">
                  <c:v>3.19</c:v>
                </c:pt>
                <c:pt idx="1990">
                  <c:v>3.09</c:v>
                </c:pt>
                <c:pt idx="1991">
                  <c:v>3.31</c:v>
                </c:pt>
                <c:pt idx="1992">
                  <c:v>3.31</c:v>
                </c:pt>
                <c:pt idx="1993">
                  <c:v>3.31</c:v>
                </c:pt>
                <c:pt idx="1994">
                  <c:v>3.32</c:v>
                </c:pt>
                <c:pt idx="1995">
                  <c:v>3.32</c:v>
                </c:pt>
                <c:pt idx="1996">
                  <c:v>3.32</c:v>
                </c:pt>
                <c:pt idx="1997">
                  <c:v>3.33</c:v>
                </c:pt>
                <c:pt idx="1998">
                  <c:v>3.33</c:v>
                </c:pt>
                <c:pt idx="1999">
                  <c:v>3.33</c:v>
                </c:pt>
                <c:pt idx="2000">
                  <c:v>3.34</c:v>
                </c:pt>
                <c:pt idx="2001">
                  <c:v>3.34</c:v>
                </c:pt>
                <c:pt idx="2002">
                  <c:v>3.35</c:v>
                </c:pt>
                <c:pt idx="2003">
                  <c:v>3.35</c:v>
                </c:pt>
                <c:pt idx="2004">
                  <c:v>3.36</c:v>
                </c:pt>
                <c:pt idx="2005">
                  <c:v>3.38</c:v>
                </c:pt>
                <c:pt idx="2006">
                  <c:v>3.33</c:v>
                </c:pt>
                <c:pt idx="2007">
                  <c:v>3.36</c:v>
                </c:pt>
                <c:pt idx="2008">
                  <c:v>3.35</c:v>
                </c:pt>
                <c:pt idx="2009">
                  <c:v>3.33</c:v>
                </c:pt>
                <c:pt idx="2010">
                  <c:v>3.32</c:v>
                </c:pt>
                <c:pt idx="2011">
                  <c:v>3.33</c:v>
                </c:pt>
                <c:pt idx="2012">
                  <c:v>3.33</c:v>
                </c:pt>
                <c:pt idx="2013">
                  <c:v>3.33</c:v>
                </c:pt>
                <c:pt idx="2014">
                  <c:v>3.33</c:v>
                </c:pt>
                <c:pt idx="2015">
                  <c:v>3.33</c:v>
                </c:pt>
                <c:pt idx="2016">
                  <c:v>3.33</c:v>
                </c:pt>
                <c:pt idx="2017">
                  <c:v>3.32</c:v>
                </c:pt>
                <c:pt idx="2018">
                  <c:v>3.32</c:v>
                </c:pt>
                <c:pt idx="2019">
                  <c:v>3.32</c:v>
                </c:pt>
                <c:pt idx="2020">
                  <c:v>3.32</c:v>
                </c:pt>
                <c:pt idx="2021">
                  <c:v>3.32</c:v>
                </c:pt>
                <c:pt idx="2022">
                  <c:v>3.32</c:v>
                </c:pt>
                <c:pt idx="2023">
                  <c:v>3.32</c:v>
                </c:pt>
                <c:pt idx="2024">
                  <c:v>3.32</c:v>
                </c:pt>
                <c:pt idx="2025">
                  <c:v>3.32</c:v>
                </c:pt>
                <c:pt idx="2026">
                  <c:v>3.32</c:v>
                </c:pt>
                <c:pt idx="2027">
                  <c:v>3.34</c:v>
                </c:pt>
                <c:pt idx="2028">
                  <c:v>3.32</c:v>
                </c:pt>
                <c:pt idx="2029">
                  <c:v>3.32</c:v>
                </c:pt>
                <c:pt idx="2030">
                  <c:v>3.32</c:v>
                </c:pt>
                <c:pt idx="2031">
                  <c:v>3.31</c:v>
                </c:pt>
                <c:pt idx="2032">
                  <c:v>3.28</c:v>
                </c:pt>
                <c:pt idx="2033">
                  <c:v>3.29</c:v>
                </c:pt>
                <c:pt idx="2034">
                  <c:v>3.35</c:v>
                </c:pt>
                <c:pt idx="2035">
                  <c:v>3.36</c:v>
                </c:pt>
                <c:pt idx="2036">
                  <c:v>3.57</c:v>
                </c:pt>
                <c:pt idx="2037">
                  <c:v>3.58</c:v>
                </c:pt>
                <c:pt idx="2038">
                  <c:v>3.59</c:v>
                </c:pt>
                <c:pt idx="2039">
                  <c:v>3.6</c:v>
                </c:pt>
                <c:pt idx="2040">
                  <c:v>3.61</c:v>
                </c:pt>
                <c:pt idx="2041">
                  <c:v>3.63</c:v>
                </c:pt>
                <c:pt idx="2042">
                  <c:v>3.67</c:v>
                </c:pt>
                <c:pt idx="2043">
                  <c:v>3.67</c:v>
                </c:pt>
                <c:pt idx="2044">
                  <c:v>3.69</c:v>
                </c:pt>
                <c:pt idx="2045">
                  <c:v>3.67</c:v>
                </c:pt>
                <c:pt idx="2046">
                  <c:v>3.69</c:v>
                </c:pt>
                <c:pt idx="2047">
                  <c:v>3.6</c:v>
                </c:pt>
                <c:pt idx="2048">
                  <c:v>3.6</c:v>
                </c:pt>
                <c:pt idx="2049">
                  <c:v>3.6</c:v>
                </c:pt>
                <c:pt idx="2050">
                  <c:v>3.59</c:v>
                </c:pt>
                <c:pt idx="2051">
                  <c:v>3.58</c:v>
                </c:pt>
                <c:pt idx="2052">
                  <c:v>3.56</c:v>
                </c:pt>
                <c:pt idx="2053">
                  <c:v>3.53</c:v>
                </c:pt>
                <c:pt idx="2054">
                  <c:v>3.52</c:v>
                </c:pt>
                <c:pt idx="2055">
                  <c:v>3.5</c:v>
                </c:pt>
                <c:pt idx="2056">
                  <c:v>3.52</c:v>
                </c:pt>
                <c:pt idx="2057">
                  <c:v>3.5</c:v>
                </c:pt>
                <c:pt idx="2058">
                  <c:v>3.57</c:v>
                </c:pt>
                <c:pt idx="2059">
                  <c:v>3.57</c:v>
                </c:pt>
                <c:pt idx="2060">
                  <c:v>3.57</c:v>
                </c:pt>
                <c:pt idx="2061">
                  <c:v>3.57</c:v>
                </c:pt>
                <c:pt idx="2062">
                  <c:v>3.57</c:v>
                </c:pt>
                <c:pt idx="2063">
                  <c:v>3.57</c:v>
                </c:pt>
                <c:pt idx="2064">
                  <c:v>3.57</c:v>
                </c:pt>
                <c:pt idx="2065">
                  <c:v>3.57</c:v>
                </c:pt>
                <c:pt idx="2066">
                  <c:v>3.57</c:v>
                </c:pt>
                <c:pt idx="2067">
                  <c:v>3.57</c:v>
                </c:pt>
                <c:pt idx="2068">
                  <c:v>3.59</c:v>
                </c:pt>
                <c:pt idx="2069">
                  <c:v>3.57</c:v>
                </c:pt>
                <c:pt idx="2070">
                  <c:v>3.56</c:v>
                </c:pt>
                <c:pt idx="2071">
                  <c:v>3.56</c:v>
                </c:pt>
                <c:pt idx="2072">
                  <c:v>3.55</c:v>
                </c:pt>
                <c:pt idx="2073">
                  <c:v>3.53</c:v>
                </c:pt>
                <c:pt idx="2074">
                  <c:v>3.53</c:v>
                </c:pt>
                <c:pt idx="2075">
                  <c:v>3.54</c:v>
                </c:pt>
                <c:pt idx="2076">
                  <c:v>3.55</c:v>
                </c:pt>
                <c:pt idx="2077">
                  <c:v>3.71</c:v>
                </c:pt>
                <c:pt idx="2078">
                  <c:v>3.57</c:v>
                </c:pt>
                <c:pt idx="2079">
                  <c:v>3.57</c:v>
                </c:pt>
                <c:pt idx="2080">
                  <c:v>3.57</c:v>
                </c:pt>
                <c:pt idx="2081">
                  <c:v>3.57</c:v>
                </c:pt>
                <c:pt idx="2082">
                  <c:v>3.57</c:v>
                </c:pt>
                <c:pt idx="2083">
                  <c:v>3.57</c:v>
                </c:pt>
                <c:pt idx="2084">
                  <c:v>3.57</c:v>
                </c:pt>
                <c:pt idx="2085">
                  <c:v>3.57</c:v>
                </c:pt>
                <c:pt idx="2086">
                  <c:v>3.57</c:v>
                </c:pt>
                <c:pt idx="2087">
                  <c:v>3.56</c:v>
                </c:pt>
                <c:pt idx="2088">
                  <c:v>3.6</c:v>
                </c:pt>
                <c:pt idx="2089">
                  <c:v>3.57</c:v>
                </c:pt>
                <c:pt idx="2090">
                  <c:v>3.57</c:v>
                </c:pt>
                <c:pt idx="2091">
                  <c:v>3.56</c:v>
                </c:pt>
                <c:pt idx="2092">
                  <c:v>3.56</c:v>
                </c:pt>
                <c:pt idx="2093">
                  <c:v>3.55</c:v>
                </c:pt>
                <c:pt idx="2094">
                  <c:v>3.54</c:v>
                </c:pt>
                <c:pt idx="2095">
                  <c:v>3.52</c:v>
                </c:pt>
                <c:pt idx="2096">
                  <c:v>3.52</c:v>
                </c:pt>
                <c:pt idx="2097">
                  <c:v>3.11</c:v>
                </c:pt>
                <c:pt idx="2098">
                  <c:v>3.82</c:v>
                </c:pt>
                <c:pt idx="2099">
                  <c:v>3.82</c:v>
                </c:pt>
                <c:pt idx="2100">
                  <c:v>3.82</c:v>
                </c:pt>
                <c:pt idx="2101">
                  <c:v>3.82</c:v>
                </c:pt>
                <c:pt idx="2102">
                  <c:v>3.82</c:v>
                </c:pt>
                <c:pt idx="2103">
                  <c:v>3.81</c:v>
                </c:pt>
                <c:pt idx="2104">
                  <c:v>3.81</c:v>
                </c:pt>
                <c:pt idx="2105">
                  <c:v>3.81</c:v>
                </c:pt>
                <c:pt idx="2106">
                  <c:v>3.81</c:v>
                </c:pt>
                <c:pt idx="2107">
                  <c:v>3.81</c:v>
                </c:pt>
                <c:pt idx="2108">
                  <c:v>3.82</c:v>
                </c:pt>
                <c:pt idx="2109">
                  <c:v>3.83</c:v>
                </c:pt>
                <c:pt idx="2110">
                  <c:v>3.9</c:v>
                </c:pt>
                <c:pt idx="2111">
                  <c:v>3.83</c:v>
                </c:pt>
                <c:pt idx="2112">
                  <c:v>3.84</c:v>
                </c:pt>
                <c:pt idx="2113">
                  <c:v>3.84</c:v>
                </c:pt>
                <c:pt idx="2114">
                  <c:v>3.86</c:v>
                </c:pt>
                <c:pt idx="2115">
                  <c:v>3.83</c:v>
                </c:pt>
                <c:pt idx="2116">
                  <c:v>3.83</c:v>
                </c:pt>
                <c:pt idx="2117">
                  <c:v>3.82</c:v>
                </c:pt>
                <c:pt idx="2118">
                  <c:v>3.73</c:v>
                </c:pt>
                <c:pt idx="2119">
                  <c:v>3.69</c:v>
                </c:pt>
                <c:pt idx="2120">
                  <c:v>3.79</c:v>
                </c:pt>
                <c:pt idx="2121">
                  <c:v>3.83</c:v>
                </c:pt>
                <c:pt idx="2122">
                  <c:v>3.83</c:v>
                </c:pt>
                <c:pt idx="2123">
                  <c:v>3.83</c:v>
                </c:pt>
                <c:pt idx="2124">
                  <c:v>3.83</c:v>
                </c:pt>
                <c:pt idx="2125">
                  <c:v>3.83</c:v>
                </c:pt>
                <c:pt idx="2126">
                  <c:v>3.83</c:v>
                </c:pt>
                <c:pt idx="2127">
                  <c:v>3.83</c:v>
                </c:pt>
                <c:pt idx="2128">
                  <c:v>3.83</c:v>
                </c:pt>
                <c:pt idx="2129">
                  <c:v>3.87</c:v>
                </c:pt>
                <c:pt idx="2130">
                  <c:v>3.84</c:v>
                </c:pt>
                <c:pt idx="2131">
                  <c:v>3.84</c:v>
                </c:pt>
                <c:pt idx="2132">
                  <c:v>3.83</c:v>
                </c:pt>
                <c:pt idx="2133">
                  <c:v>3.83</c:v>
                </c:pt>
                <c:pt idx="2134">
                  <c:v>3.81</c:v>
                </c:pt>
                <c:pt idx="2135">
                  <c:v>3.7</c:v>
                </c:pt>
                <c:pt idx="2136">
                  <c:v>3.67</c:v>
                </c:pt>
                <c:pt idx="2137">
                  <c:v>3.68</c:v>
                </c:pt>
                <c:pt idx="2138">
                  <c:v>3.39</c:v>
                </c:pt>
                <c:pt idx="2139">
                  <c:v>3.83</c:v>
                </c:pt>
                <c:pt idx="2140">
                  <c:v>3.83</c:v>
                </c:pt>
                <c:pt idx="2141">
                  <c:v>3.83</c:v>
                </c:pt>
                <c:pt idx="2142">
                  <c:v>3.83</c:v>
                </c:pt>
                <c:pt idx="2143">
                  <c:v>3.83</c:v>
                </c:pt>
                <c:pt idx="2144">
                  <c:v>3.83</c:v>
                </c:pt>
                <c:pt idx="2145">
                  <c:v>3.83</c:v>
                </c:pt>
                <c:pt idx="2146">
                  <c:v>3.83</c:v>
                </c:pt>
                <c:pt idx="2147">
                  <c:v>3.83</c:v>
                </c:pt>
                <c:pt idx="2148">
                  <c:v>3.83</c:v>
                </c:pt>
                <c:pt idx="2149">
                  <c:v>3.83</c:v>
                </c:pt>
                <c:pt idx="2150">
                  <c:v>3.82</c:v>
                </c:pt>
                <c:pt idx="2151">
                  <c:v>3.85</c:v>
                </c:pt>
                <c:pt idx="2152">
                  <c:v>3.8</c:v>
                </c:pt>
                <c:pt idx="2153">
                  <c:v>3.76</c:v>
                </c:pt>
                <c:pt idx="2154">
                  <c:v>3.73</c:v>
                </c:pt>
                <c:pt idx="2155">
                  <c:v>3.68</c:v>
                </c:pt>
                <c:pt idx="2156">
                  <c:v>3.69</c:v>
                </c:pt>
                <c:pt idx="2157">
                  <c:v>3.82</c:v>
                </c:pt>
                <c:pt idx="2158">
                  <c:v>3.81</c:v>
                </c:pt>
                <c:pt idx="2159">
                  <c:v>3.79</c:v>
                </c:pt>
                <c:pt idx="2160">
                  <c:v>4.08</c:v>
                </c:pt>
                <c:pt idx="2161">
                  <c:v>4.08</c:v>
                </c:pt>
                <c:pt idx="2162">
                  <c:v>4.07</c:v>
                </c:pt>
                <c:pt idx="2163">
                  <c:v>4.07</c:v>
                </c:pt>
                <c:pt idx="2164">
                  <c:v>4.07</c:v>
                </c:pt>
                <c:pt idx="2165">
                  <c:v>4.0599999999999996</c:v>
                </c:pt>
                <c:pt idx="2166">
                  <c:v>4.0599999999999996</c:v>
                </c:pt>
                <c:pt idx="2167">
                  <c:v>4.0599999999999996</c:v>
                </c:pt>
                <c:pt idx="2168">
                  <c:v>4.07</c:v>
                </c:pt>
                <c:pt idx="2169">
                  <c:v>4.07</c:v>
                </c:pt>
                <c:pt idx="2170">
                  <c:v>4.08</c:v>
                </c:pt>
                <c:pt idx="2171">
                  <c:v>4.08</c:v>
                </c:pt>
                <c:pt idx="2172">
                  <c:v>4.1399999999999997</c:v>
                </c:pt>
                <c:pt idx="2173">
                  <c:v>4.07</c:v>
                </c:pt>
                <c:pt idx="2174">
                  <c:v>4.04</c:v>
                </c:pt>
                <c:pt idx="2175">
                  <c:v>4.01</c:v>
                </c:pt>
                <c:pt idx="2176">
                  <c:v>4.05</c:v>
                </c:pt>
                <c:pt idx="2177">
                  <c:v>4.0599999999999996</c:v>
                </c:pt>
                <c:pt idx="2178">
                  <c:v>4.0599999999999996</c:v>
                </c:pt>
                <c:pt idx="2179">
                  <c:v>4.07</c:v>
                </c:pt>
                <c:pt idx="2180">
                  <c:v>4.07</c:v>
                </c:pt>
                <c:pt idx="2181">
                  <c:v>4.07</c:v>
                </c:pt>
                <c:pt idx="2182">
                  <c:v>4.07</c:v>
                </c:pt>
                <c:pt idx="2183">
                  <c:v>4.07</c:v>
                </c:pt>
                <c:pt idx="2184">
                  <c:v>4.07</c:v>
                </c:pt>
                <c:pt idx="2185">
                  <c:v>4.07</c:v>
                </c:pt>
                <c:pt idx="2186">
                  <c:v>4.07</c:v>
                </c:pt>
                <c:pt idx="2187">
                  <c:v>4.07</c:v>
                </c:pt>
                <c:pt idx="2188">
                  <c:v>4.07</c:v>
                </c:pt>
                <c:pt idx="2189">
                  <c:v>4.07</c:v>
                </c:pt>
                <c:pt idx="2190">
                  <c:v>4.07</c:v>
                </c:pt>
                <c:pt idx="2191">
                  <c:v>4.07</c:v>
                </c:pt>
                <c:pt idx="2192">
                  <c:v>4.0599999999999996</c:v>
                </c:pt>
                <c:pt idx="2193">
                  <c:v>4.05</c:v>
                </c:pt>
                <c:pt idx="2194">
                  <c:v>4.08</c:v>
                </c:pt>
                <c:pt idx="2195">
                  <c:v>4.05</c:v>
                </c:pt>
                <c:pt idx="2196">
                  <c:v>4.04</c:v>
                </c:pt>
                <c:pt idx="2197">
                  <c:v>4.05</c:v>
                </c:pt>
                <c:pt idx="2198">
                  <c:v>4.07</c:v>
                </c:pt>
                <c:pt idx="2199">
                  <c:v>4.2300000000000004</c:v>
                </c:pt>
                <c:pt idx="2200">
                  <c:v>4.09</c:v>
                </c:pt>
                <c:pt idx="2201">
                  <c:v>4.22</c:v>
                </c:pt>
                <c:pt idx="2202">
                  <c:v>4.1399999999999997</c:v>
                </c:pt>
                <c:pt idx="2203">
                  <c:v>4.0999999999999996</c:v>
                </c:pt>
                <c:pt idx="2204">
                  <c:v>4.05</c:v>
                </c:pt>
                <c:pt idx="2205">
                  <c:v>4.01</c:v>
                </c:pt>
                <c:pt idx="2206">
                  <c:v>4</c:v>
                </c:pt>
                <c:pt idx="2207">
                  <c:v>4</c:v>
                </c:pt>
                <c:pt idx="2208">
                  <c:v>4.0199999999999996</c:v>
                </c:pt>
                <c:pt idx="2209">
                  <c:v>4.0199999999999996</c:v>
                </c:pt>
                <c:pt idx="2210">
                  <c:v>4.03</c:v>
                </c:pt>
                <c:pt idx="2211">
                  <c:v>4.03</c:v>
                </c:pt>
                <c:pt idx="2212">
                  <c:v>3.93</c:v>
                </c:pt>
                <c:pt idx="2213">
                  <c:v>3.82</c:v>
                </c:pt>
                <c:pt idx="2214">
                  <c:v>3.72</c:v>
                </c:pt>
                <c:pt idx="2215">
                  <c:v>4.05</c:v>
                </c:pt>
                <c:pt idx="2216">
                  <c:v>4.13</c:v>
                </c:pt>
                <c:pt idx="2217">
                  <c:v>4.29</c:v>
                </c:pt>
                <c:pt idx="2218">
                  <c:v>4.2720000000000002</c:v>
                </c:pt>
                <c:pt idx="2219">
                  <c:v>4.4580000000000002</c:v>
                </c:pt>
                <c:pt idx="2220">
                  <c:v>4.5880000000000001</c:v>
                </c:pt>
                <c:pt idx="2221">
                  <c:v>4.05</c:v>
                </c:pt>
                <c:pt idx="2222">
                  <c:v>3.8159999999999998</c:v>
                </c:pt>
                <c:pt idx="2223">
                  <c:v>3.5379999999999998</c:v>
                </c:pt>
                <c:pt idx="2224">
                  <c:v>3.8650000000000002</c:v>
                </c:pt>
                <c:pt idx="2225">
                  <c:v>4.1130000000000004</c:v>
                </c:pt>
                <c:pt idx="2226">
                  <c:v>3.956</c:v>
                </c:pt>
                <c:pt idx="2227">
                  <c:v>3.6619999999999999</c:v>
                </c:pt>
                <c:pt idx="2228">
                  <c:v>3.573</c:v>
                </c:pt>
                <c:pt idx="2229">
                  <c:v>3.6179999999999999</c:v>
                </c:pt>
                <c:pt idx="2230">
                  <c:v>4.0949999999999998</c:v>
                </c:pt>
                <c:pt idx="2231">
                  <c:v>4.0069999999999997</c:v>
                </c:pt>
                <c:pt idx="2232">
                  <c:v>4.0410000000000004</c:v>
                </c:pt>
                <c:pt idx="2233">
                  <c:v>4.109</c:v>
                </c:pt>
                <c:pt idx="2234">
                  <c:v>4.218</c:v>
                </c:pt>
                <c:pt idx="2235">
                  <c:v>4.2930000000000001</c:v>
                </c:pt>
                <c:pt idx="2236">
                  <c:v>4.1369999999999996</c:v>
                </c:pt>
                <c:pt idx="2237">
                  <c:v>4.1619999999999999</c:v>
                </c:pt>
                <c:pt idx="2238">
                  <c:v>3.8580000000000001</c:v>
                </c:pt>
                <c:pt idx="2239">
                  <c:v>3.8290000000000002</c:v>
                </c:pt>
                <c:pt idx="2240">
                  <c:v>3.8450000000000002</c:v>
                </c:pt>
                <c:pt idx="2241">
                  <c:v>3.8109999999999999</c:v>
                </c:pt>
                <c:pt idx="2242">
                  <c:v>3.673</c:v>
                </c:pt>
                <c:pt idx="2243">
                  <c:v>3.621</c:v>
                </c:pt>
                <c:pt idx="2244">
                  <c:v>3.9449999999999998</c:v>
                </c:pt>
                <c:pt idx="2245">
                  <c:v>3.9460000000000002</c:v>
                </c:pt>
                <c:pt idx="2246">
                  <c:v>3.8180000000000001</c:v>
                </c:pt>
                <c:pt idx="2247">
                  <c:v>3.83</c:v>
                </c:pt>
                <c:pt idx="2248">
                  <c:v>3.99</c:v>
                </c:pt>
                <c:pt idx="2249">
                  <c:v>4.008</c:v>
                </c:pt>
                <c:pt idx="2250">
                  <c:v>4.0289999999999999</c:v>
                </c:pt>
                <c:pt idx="2251">
                  <c:v>4.0389999999999997</c:v>
                </c:pt>
                <c:pt idx="2252">
                  <c:v>4.03</c:v>
                </c:pt>
                <c:pt idx="2253">
                  <c:v>4.0330000000000004</c:v>
                </c:pt>
                <c:pt idx="2254">
                  <c:v>4.0380000000000003</c:v>
                </c:pt>
                <c:pt idx="2255">
                  <c:v>4.0330000000000004</c:v>
                </c:pt>
                <c:pt idx="2256">
                  <c:v>4.0330000000000004</c:v>
                </c:pt>
                <c:pt idx="2257">
                  <c:v>4.0330000000000004</c:v>
                </c:pt>
                <c:pt idx="2258">
                  <c:v>4.0389999999999997</c:v>
                </c:pt>
                <c:pt idx="2259">
                  <c:v>4.0410000000000004</c:v>
                </c:pt>
                <c:pt idx="2260">
                  <c:v>4.1310000000000002</c:v>
                </c:pt>
                <c:pt idx="2261">
                  <c:v>4.0670000000000002</c:v>
                </c:pt>
                <c:pt idx="2262">
                  <c:v>4.0609999999999999</c:v>
                </c:pt>
                <c:pt idx="2263">
                  <c:v>4.0540000000000003</c:v>
                </c:pt>
                <c:pt idx="2264">
                  <c:v>4.0410000000000004</c:v>
                </c:pt>
                <c:pt idx="2265">
                  <c:v>4.0410000000000004</c:v>
                </c:pt>
                <c:pt idx="2266">
                  <c:v>4.0350000000000001</c:v>
                </c:pt>
                <c:pt idx="2267">
                  <c:v>3.944</c:v>
                </c:pt>
                <c:pt idx="2268">
                  <c:v>3.8370000000000002</c:v>
                </c:pt>
                <c:pt idx="2269">
                  <c:v>3.7549999999999999</c:v>
                </c:pt>
                <c:pt idx="2270">
                  <c:v>4.0389999999999997</c:v>
                </c:pt>
                <c:pt idx="2271">
                  <c:v>4.0469999999999997</c:v>
                </c:pt>
                <c:pt idx="2272">
                  <c:v>4.056</c:v>
                </c:pt>
                <c:pt idx="2273">
                  <c:v>4.0570000000000004</c:v>
                </c:pt>
                <c:pt idx="2274">
                  <c:v>4.0730000000000004</c:v>
                </c:pt>
                <c:pt idx="2275">
                  <c:v>4.0830000000000002</c:v>
                </c:pt>
                <c:pt idx="2276">
                  <c:v>4.0990000000000002</c:v>
                </c:pt>
                <c:pt idx="2277">
                  <c:v>4.1079999999999997</c:v>
                </c:pt>
                <c:pt idx="2278">
                  <c:v>4.0780000000000003</c:v>
                </c:pt>
                <c:pt idx="2279">
                  <c:v>4.0389999999999997</c:v>
                </c:pt>
                <c:pt idx="2280">
                  <c:v>3.9649999999999999</c:v>
                </c:pt>
                <c:pt idx="2281">
                  <c:v>3.97</c:v>
                </c:pt>
                <c:pt idx="2282">
                  <c:v>4.0380000000000003</c:v>
                </c:pt>
                <c:pt idx="2283">
                  <c:v>3.964</c:v>
                </c:pt>
                <c:pt idx="2284">
                  <c:v>3.9140000000000001</c:v>
                </c:pt>
                <c:pt idx="2285">
                  <c:v>3.7930000000000001</c:v>
                </c:pt>
                <c:pt idx="2286">
                  <c:v>3.7349999999999999</c:v>
                </c:pt>
                <c:pt idx="2287">
                  <c:v>3.7890000000000001</c:v>
                </c:pt>
                <c:pt idx="2288">
                  <c:v>3.8570000000000002</c:v>
                </c:pt>
                <c:pt idx="2289">
                  <c:v>4.0380000000000003</c:v>
                </c:pt>
                <c:pt idx="2290">
                  <c:v>4.0430000000000001</c:v>
                </c:pt>
                <c:pt idx="2291">
                  <c:v>4.0259999999999998</c:v>
                </c:pt>
                <c:pt idx="2292">
                  <c:v>3.8519999999999999</c:v>
                </c:pt>
                <c:pt idx="2293">
                  <c:v>3.9119999999999999</c:v>
                </c:pt>
                <c:pt idx="2294">
                  <c:v>3.8740000000000001</c:v>
                </c:pt>
                <c:pt idx="2295">
                  <c:v>3.87</c:v>
                </c:pt>
                <c:pt idx="2296">
                  <c:v>3.9329999999999998</c:v>
                </c:pt>
                <c:pt idx="2297">
                  <c:v>3.8820000000000001</c:v>
                </c:pt>
                <c:pt idx="2298">
                  <c:v>3.8490000000000002</c:v>
                </c:pt>
                <c:pt idx="2299">
                  <c:v>3.8370000000000002</c:v>
                </c:pt>
                <c:pt idx="2300">
                  <c:v>3.6179999999999999</c:v>
                </c:pt>
                <c:pt idx="2301">
                  <c:v>3.9159999999999999</c:v>
                </c:pt>
                <c:pt idx="2302">
                  <c:v>3.782</c:v>
                </c:pt>
                <c:pt idx="2303">
                  <c:v>3.9089999999999998</c:v>
                </c:pt>
                <c:pt idx="2304">
                  <c:v>4.0869999999999997</c:v>
                </c:pt>
                <c:pt idx="2305">
                  <c:v>4.1070000000000002</c:v>
                </c:pt>
                <c:pt idx="2306">
                  <c:v>4.1189999999999998</c:v>
                </c:pt>
                <c:pt idx="2307">
                  <c:v>4.1740000000000004</c:v>
                </c:pt>
                <c:pt idx="2308">
                  <c:v>4.0529999999999999</c:v>
                </c:pt>
                <c:pt idx="2309">
                  <c:v>3.883</c:v>
                </c:pt>
                <c:pt idx="2310">
                  <c:v>3.8809999999999998</c:v>
                </c:pt>
                <c:pt idx="2311">
                  <c:v>4.0780000000000003</c:v>
                </c:pt>
                <c:pt idx="2312">
                  <c:v>4.0410000000000004</c:v>
                </c:pt>
                <c:pt idx="2313">
                  <c:v>4.0179999999999998</c:v>
                </c:pt>
                <c:pt idx="2314">
                  <c:v>3.968</c:v>
                </c:pt>
                <c:pt idx="2315">
                  <c:v>3.984</c:v>
                </c:pt>
                <c:pt idx="2316">
                  <c:v>3.9889999999999999</c:v>
                </c:pt>
                <c:pt idx="2317">
                  <c:v>3.9940000000000002</c:v>
                </c:pt>
                <c:pt idx="2318">
                  <c:v>4.0030000000000001</c:v>
                </c:pt>
                <c:pt idx="2319">
                  <c:v>4.0149999999999997</c:v>
                </c:pt>
                <c:pt idx="2320">
                  <c:v>4.0179999999999998</c:v>
                </c:pt>
                <c:pt idx="2321">
                  <c:v>4.0549999999999997</c:v>
                </c:pt>
                <c:pt idx="2322">
                  <c:v>4.1349999999999998</c:v>
                </c:pt>
                <c:pt idx="2323">
                  <c:v>4.1870000000000003</c:v>
                </c:pt>
                <c:pt idx="2324">
                  <c:v>4.1139999999999999</c:v>
                </c:pt>
                <c:pt idx="2325">
                  <c:v>4.0819999999999999</c:v>
                </c:pt>
                <c:pt idx="2326">
                  <c:v>4.0339999999999998</c:v>
                </c:pt>
                <c:pt idx="2327">
                  <c:v>4.024</c:v>
                </c:pt>
                <c:pt idx="2328">
                  <c:v>4.0179999999999998</c:v>
                </c:pt>
                <c:pt idx="2329">
                  <c:v>4</c:v>
                </c:pt>
                <c:pt idx="2330">
                  <c:v>3.9990000000000001</c:v>
                </c:pt>
                <c:pt idx="2331">
                  <c:v>4.1029999999999998</c:v>
                </c:pt>
                <c:pt idx="2332">
                  <c:v>4.0350000000000001</c:v>
                </c:pt>
                <c:pt idx="2333">
                  <c:v>4.03</c:v>
                </c:pt>
                <c:pt idx="2334">
                  <c:v>4.008</c:v>
                </c:pt>
                <c:pt idx="2335">
                  <c:v>4.0129999999999999</c:v>
                </c:pt>
                <c:pt idx="2336">
                  <c:v>4.0140000000000002</c:v>
                </c:pt>
                <c:pt idx="2337">
                  <c:v>4.016</c:v>
                </c:pt>
                <c:pt idx="2338">
                  <c:v>4.0149999999999997</c:v>
                </c:pt>
                <c:pt idx="2339">
                  <c:v>4.008</c:v>
                </c:pt>
                <c:pt idx="2340">
                  <c:v>4.01</c:v>
                </c:pt>
                <c:pt idx="2341">
                  <c:v>4.008</c:v>
                </c:pt>
                <c:pt idx="2342">
                  <c:v>4.0060000000000002</c:v>
                </c:pt>
                <c:pt idx="2343">
                  <c:v>4.0069999999999997</c:v>
                </c:pt>
                <c:pt idx="2344">
                  <c:v>4.0410000000000004</c:v>
                </c:pt>
                <c:pt idx="2345">
                  <c:v>4.0090000000000003</c:v>
                </c:pt>
                <c:pt idx="2346">
                  <c:v>4.01</c:v>
                </c:pt>
                <c:pt idx="2347">
                  <c:v>4.0129999999999999</c:v>
                </c:pt>
                <c:pt idx="2348">
                  <c:v>4.0190000000000001</c:v>
                </c:pt>
                <c:pt idx="2349">
                  <c:v>4.0469999999999997</c:v>
                </c:pt>
                <c:pt idx="2350">
                  <c:v>4.1280000000000001</c:v>
                </c:pt>
                <c:pt idx="2351">
                  <c:v>4.2290000000000001</c:v>
                </c:pt>
                <c:pt idx="2352">
                  <c:v>4.04</c:v>
                </c:pt>
                <c:pt idx="2353">
                  <c:v>4.0289999999999999</c:v>
                </c:pt>
                <c:pt idx="2354">
                  <c:v>4.0259999999999998</c:v>
                </c:pt>
                <c:pt idx="2355">
                  <c:v>4.0460000000000003</c:v>
                </c:pt>
                <c:pt idx="2356">
                  <c:v>4.0830000000000002</c:v>
                </c:pt>
                <c:pt idx="2357">
                  <c:v>4.1879999999999997</c:v>
                </c:pt>
                <c:pt idx="2358">
                  <c:v>4.133</c:v>
                </c:pt>
                <c:pt idx="2359">
                  <c:v>4.1929999999999996</c:v>
                </c:pt>
                <c:pt idx="2360">
                  <c:v>4.1870000000000003</c:v>
                </c:pt>
                <c:pt idx="2361">
                  <c:v>4.125</c:v>
                </c:pt>
                <c:pt idx="2362">
                  <c:v>4.0650000000000004</c:v>
                </c:pt>
                <c:pt idx="2363">
                  <c:v>4.1589999999999998</c:v>
                </c:pt>
                <c:pt idx="2364">
                  <c:v>4.0250000000000004</c:v>
                </c:pt>
                <c:pt idx="2365">
                  <c:v>4.0350000000000001</c:v>
                </c:pt>
                <c:pt idx="2366">
                  <c:v>4.0060000000000002</c:v>
                </c:pt>
                <c:pt idx="2367">
                  <c:v>3.9420000000000002</c:v>
                </c:pt>
                <c:pt idx="2368">
                  <c:v>3.9129999999999998</c:v>
                </c:pt>
                <c:pt idx="2369">
                  <c:v>3.895</c:v>
                </c:pt>
                <c:pt idx="2370">
                  <c:v>4.0229999999999997</c:v>
                </c:pt>
                <c:pt idx="2371">
                  <c:v>4.0140000000000002</c:v>
                </c:pt>
                <c:pt idx="2372">
                  <c:v>3.9729999999999999</c:v>
                </c:pt>
                <c:pt idx="2373">
                  <c:v>3.988</c:v>
                </c:pt>
                <c:pt idx="2374">
                  <c:v>3.7829999999999999</c:v>
                </c:pt>
                <c:pt idx="2375">
                  <c:v>4.0049999999999999</c:v>
                </c:pt>
                <c:pt idx="2376">
                  <c:v>3.9889999999999999</c:v>
                </c:pt>
                <c:pt idx="2377">
                  <c:v>3.9209999999999998</c:v>
                </c:pt>
                <c:pt idx="2378">
                  <c:v>3.8769999999999998</c:v>
                </c:pt>
                <c:pt idx="2379">
                  <c:v>3.8919999999999999</c:v>
                </c:pt>
                <c:pt idx="2380">
                  <c:v>3.9769999999999999</c:v>
                </c:pt>
                <c:pt idx="2381">
                  <c:v>4.0270000000000001</c:v>
                </c:pt>
                <c:pt idx="2382">
                  <c:v>4.056</c:v>
                </c:pt>
                <c:pt idx="2383">
                  <c:v>4.069</c:v>
                </c:pt>
                <c:pt idx="2384">
                  <c:v>4.09</c:v>
                </c:pt>
                <c:pt idx="2385">
                  <c:v>4.21</c:v>
                </c:pt>
                <c:pt idx="2386">
                  <c:v>4.0819999999999999</c:v>
                </c:pt>
                <c:pt idx="2387">
                  <c:v>4.0650000000000004</c:v>
                </c:pt>
                <c:pt idx="2388">
                  <c:v>4.0620000000000003</c:v>
                </c:pt>
                <c:pt idx="2389">
                  <c:v>4.048</c:v>
                </c:pt>
                <c:pt idx="2390">
                  <c:v>3.9790000000000001</c:v>
                </c:pt>
                <c:pt idx="2391">
                  <c:v>3.7930000000000001</c:v>
                </c:pt>
                <c:pt idx="2392">
                  <c:v>3.73</c:v>
                </c:pt>
                <c:pt idx="2393">
                  <c:v>4.0039999999999996</c:v>
                </c:pt>
                <c:pt idx="2394">
                  <c:v>4.0359999999999996</c:v>
                </c:pt>
                <c:pt idx="2395">
                  <c:v>4.0199999999999996</c:v>
                </c:pt>
                <c:pt idx="2396">
                  <c:v>3.9990000000000001</c:v>
                </c:pt>
                <c:pt idx="2397">
                  <c:v>3.9940000000000002</c:v>
                </c:pt>
                <c:pt idx="2398">
                  <c:v>3.9820000000000002</c:v>
                </c:pt>
                <c:pt idx="2399">
                  <c:v>3.9870000000000001</c:v>
                </c:pt>
                <c:pt idx="2400">
                  <c:v>3.996</c:v>
                </c:pt>
                <c:pt idx="2401">
                  <c:v>4.024</c:v>
                </c:pt>
                <c:pt idx="2402">
                  <c:v>4.0430000000000001</c:v>
                </c:pt>
                <c:pt idx="2403">
                  <c:v>4.0620000000000003</c:v>
                </c:pt>
                <c:pt idx="2404">
                  <c:v>4.0759999999999996</c:v>
                </c:pt>
                <c:pt idx="2405">
                  <c:v>4.1070000000000002</c:v>
                </c:pt>
                <c:pt idx="2406">
                  <c:v>4.1139999999999999</c:v>
                </c:pt>
                <c:pt idx="2407">
                  <c:v>4.0439999999999996</c:v>
                </c:pt>
                <c:pt idx="2408">
                  <c:v>4.0369999999999999</c:v>
                </c:pt>
                <c:pt idx="2409">
                  <c:v>4.0010000000000003</c:v>
                </c:pt>
                <c:pt idx="2410">
                  <c:v>3.98</c:v>
                </c:pt>
                <c:pt idx="2411">
                  <c:v>3.9630000000000001</c:v>
                </c:pt>
                <c:pt idx="2412">
                  <c:v>3.9750000000000001</c:v>
                </c:pt>
                <c:pt idx="2413">
                  <c:v>4.1790000000000003</c:v>
                </c:pt>
                <c:pt idx="2414">
                  <c:v>4.04</c:v>
                </c:pt>
                <c:pt idx="2415">
                  <c:v>4.0359999999999996</c:v>
                </c:pt>
                <c:pt idx="2416">
                  <c:v>4.0220000000000002</c:v>
                </c:pt>
                <c:pt idx="2417">
                  <c:v>4.0270000000000001</c:v>
                </c:pt>
                <c:pt idx="2418">
                  <c:v>4.0220000000000002</c:v>
                </c:pt>
                <c:pt idx="2419">
                  <c:v>4.0140000000000002</c:v>
                </c:pt>
                <c:pt idx="2420">
                  <c:v>4.0030000000000001</c:v>
                </c:pt>
                <c:pt idx="2421">
                  <c:v>3.988</c:v>
                </c:pt>
                <c:pt idx="2422">
                  <c:v>3.9969999999999999</c:v>
                </c:pt>
                <c:pt idx="2423">
                  <c:v>3.9929999999999999</c:v>
                </c:pt>
                <c:pt idx="2424">
                  <c:v>3.9569999999999999</c:v>
                </c:pt>
                <c:pt idx="2425">
                  <c:v>3.8919999999999999</c:v>
                </c:pt>
                <c:pt idx="2426">
                  <c:v>3.706</c:v>
                </c:pt>
                <c:pt idx="2427">
                  <c:v>4.2649999999999997</c:v>
                </c:pt>
                <c:pt idx="2428">
                  <c:v>3.9159999999999999</c:v>
                </c:pt>
                <c:pt idx="2429">
                  <c:v>3.9249999999999998</c:v>
                </c:pt>
                <c:pt idx="2430">
                  <c:v>3.9380000000000002</c:v>
                </c:pt>
                <c:pt idx="2431">
                  <c:v>3.9409999999999998</c:v>
                </c:pt>
                <c:pt idx="2432">
                  <c:v>3.9129999999999998</c:v>
                </c:pt>
                <c:pt idx="2433">
                  <c:v>3.7919999999999998</c:v>
                </c:pt>
                <c:pt idx="2434">
                  <c:v>4.2850000000000001</c:v>
                </c:pt>
                <c:pt idx="2435">
                  <c:v>4.28</c:v>
                </c:pt>
                <c:pt idx="2436">
                  <c:v>4.2729999999999997</c:v>
                </c:pt>
                <c:pt idx="2437">
                  <c:v>4.2770000000000001</c:v>
                </c:pt>
                <c:pt idx="2438">
                  <c:v>4.2770000000000001</c:v>
                </c:pt>
                <c:pt idx="2439">
                  <c:v>4.2850000000000001</c:v>
                </c:pt>
                <c:pt idx="2440">
                  <c:v>4.282</c:v>
                </c:pt>
                <c:pt idx="2441">
                  <c:v>4.2809999999999997</c:v>
                </c:pt>
                <c:pt idx="2442">
                  <c:v>4.2859999999999996</c:v>
                </c:pt>
                <c:pt idx="2443">
                  <c:v>4.2930000000000001</c:v>
                </c:pt>
                <c:pt idx="2444">
                  <c:v>4.2960000000000003</c:v>
                </c:pt>
                <c:pt idx="2445">
                  <c:v>4.2969999999999997</c:v>
                </c:pt>
                <c:pt idx="2446">
                  <c:v>4.2919999999999998</c:v>
                </c:pt>
                <c:pt idx="2447">
                  <c:v>4.2969999999999997</c:v>
                </c:pt>
                <c:pt idx="2448">
                  <c:v>4.2859999999999996</c:v>
                </c:pt>
                <c:pt idx="2449">
                  <c:v>4.2960000000000003</c:v>
                </c:pt>
                <c:pt idx="2450">
                  <c:v>4.3810000000000002</c:v>
                </c:pt>
                <c:pt idx="2451">
                  <c:v>4.2889999999999997</c:v>
                </c:pt>
                <c:pt idx="2452">
                  <c:v>4.3</c:v>
                </c:pt>
                <c:pt idx="2453">
                  <c:v>4.3090000000000002</c:v>
                </c:pt>
                <c:pt idx="2454">
                  <c:v>4.3129999999999997</c:v>
                </c:pt>
                <c:pt idx="2455">
                  <c:v>4.3159999999999998</c:v>
                </c:pt>
                <c:pt idx="2456">
                  <c:v>4.2949999999999999</c:v>
                </c:pt>
                <c:pt idx="2457">
                  <c:v>4.2949999999999999</c:v>
                </c:pt>
                <c:pt idx="2458">
                  <c:v>4.3179999999999996</c:v>
                </c:pt>
                <c:pt idx="2459">
                  <c:v>4.3029999999999999</c:v>
                </c:pt>
                <c:pt idx="2460">
                  <c:v>4.3090000000000002</c:v>
                </c:pt>
                <c:pt idx="2461">
                  <c:v>4.2919999999999998</c:v>
                </c:pt>
                <c:pt idx="2462">
                  <c:v>4.3019999999999996</c:v>
                </c:pt>
                <c:pt idx="2463">
                  <c:v>4.2850000000000001</c:v>
                </c:pt>
                <c:pt idx="2464">
                  <c:v>4.2770000000000001</c:v>
                </c:pt>
                <c:pt idx="2465">
                  <c:v>4.2729999999999997</c:v>
                </c:pt>
                <c:pt idx="2466">
                  <c:v>4.274</c:v>
                </c:pt>
                <c:pt idx="2467">
                  <c:v>4.2839999999999998</c:v>
                </c:pt>
                <c:pt idx="2468">
                  <c:v>4.2889999999999997</c:v>
                </c:pt>
                <c:pt idx="2469">
                  <c:v>4.298</c:v>
                </c:pt>
                <c:pt idx="2470">
                  <c:v>4.3010000000000002</c:v>
                </c:pt>
                <c:pt idx="2471">
                  <c:v>4.3550000000000004</c:v>
                </c:pt>
                <c:pt idx="2472">
                  <c:v>4.2960000000000003</c:v>
                </c:pt>
                <c:pt idx="2473">
                  <c:v>4.3</c:v>
                </c:pt>
                <c:pt idx="2474">
                  <c:v>4.3079999999999998</c:v>
                </c:pt>
                <c:pt idx="2475">
                  <c:v>4.3090000000000002</c:v>
                </c:pt>
                <c:pt idx="2476">
                  <c:v>4.3090000000000002</c:v>
                </c:pt>
                <c:pt idx="2477">
                  <c:v>4.3</c:v>
                </c:pt>
                <c:pt idx="2478">
                  <c:v>3.9159999999999999</c:v>
                </c:pt>
                <c:pt idx="2479">
                  <c:v>4.3029999999999999</c:v>
                </c:pt>
                <c:pt idx="2480">
                  <c:v>4.306</c:v>
                </c:pt>
                <c:pt idx="2481">
                  <c:v>4.298</c:v>
                </c:pt>
                <c:pt idx="2482">
                  <c:v>4.4649999999999999</c:v>
                </c:pt>
                <c:pt idx="2483">
                  <c:v>4.2160000000000002</c:v>
                </c:pt>
                <c:pt idx="2484">
                  <c:v>4.4210000000000003</c:v>
                </c:pt>
                <c:pt idx="2485">
                  <c:v>4.3739999999999997</c:v>
                </c:pt>
                <c:pt idx="2486">
                  <c:v>4.3780000000000001</c:v>
                </c:pt>
                <c:pt idx="2487">
                  <c:v>4.38</c:v>
                </c:pt>
                <c:pt idx="2488">
                  <c:v>4.4690000000000003</c:v>
                </c:pt>
                <c:pt idx="2489">
                  <c:v>4.2569999999999997</c:v>
                </c:pt>
                <c:pt idx="2490">
                  <c:v>4.2850000000000001</c:v>
                </c:pt>
                <c:pt idx="2491">
                  <c:v>4.0279999999999996</c:v>
                </c:pt>
                <c:pt idx="2492">
                  <c:v>3.9220000000000002</c:v>
                </c:pt>
                <c:pt idx="2493">
                  <c:v>4.173</c:v>
                </c:pt>
                <c:pt idx="2494">
                  <c:v>4.1929999999999996</c:v>
                </c:pt>
                <c:pt idx="2495">
                  <c:v>4.2030000000000003</c:v>
                </c:pt>
                <c:pt idx="2496">
                  <c:v>4.1399999999999997</c:v>
                </c:pt>
                <c:pt idx="2497">
                  <c:v>4.3879999999999999</c:v>
                </c:pt>
                <c:pt idx="2498">
                  <c:v>4.601</c:v>
                </c:pt>
                <c:pt idx="2499">
                  <c:v>4.51</c:v>
                </c:pt>
                <c:pt idx="2500">
                  <c:v>3.9710000000000001</c:v>
                </c:pt>
                <c:pt idx="2501">
                  <c:v>3.8460000000000001</c:v>
                </c:pt>
                <c:pt idx="2502">
                  <c:v>3.7570000000000001</c:v>
                </c:pt>
                <c:pt idx="2503">
                  <c:v>3.6960000000000002</c:v>
                </c:pt>
                <c:pt idx="2504">
                  <c:v>3.6970000000000001</c:v>
                </c:pt>
                <c:pt idx="2505">
                  <c:v>3.6349999999999998</c:v>
                </c:pt>
                <c:pt idx="2506">
                  <c:v>3.6150000000000002</c:v>
                </c:pt>
                <c:pt idx="2507">
                  <c:v>3.597</c:v>
                </c:pt>
                <c:pt idx="2508">
                  <c:v>3.5720000000000001</c:v>
                </c:pt>
                <c:pt idx="2509">
                  <c:v>3.569</c:v>
                </c:pt>
                <c:pt idx="2510">
                  <c:v>3.5670000000000002</c:v>
                </c:pt>
                <c:pt idx="2511">
                  <c:v>3.5659999999999998</c:v>
                </c:pt>
                <c:pt idx="2512">
                  <c:v>3.5249999999999999</c:v>
                </c:pt>
                <c:pt idx="2513">
                  <c:v>3.5369999999999999</c:v>
                </c:pt>
                <c:pt idx="2514">
                  <c:v>3.5350000000000001</c:v>
                </c:pt>
                <c:pt idx="2515">
                  <c:v>3.548</c:v>
                </c:pt>
                <c:pt idx="2516">
                  <c:v>3.5870000000000002</c:v>
                </c:pt>
                <c:pt idx="2517">
                  <c:v>3.48</c:v>
                </c:pt>
                <c:pt idx="2518">
                  <c:v>3.4540000000000002</c:v>
                </c:pt>
                <c:pt idx="2519">
                  <c:v>3.4420000000000002</c:v>
                </c:pt>
                <c:pt idx="2520">
                  <c:v>3.423</c:v>
                </c:pt>
                <c:pt idx="2521">
                  <c:v>3.4319999999999999</c:v>
                </c:pt>
                <c:pt idx="2522">
                  <c:v>3.4529999999999998</c:v>
                </c:pt>
                <c:pt idx="2523">
                  <c:v>3.66</c:v>
                </c:pt>
                <c:pt idx="2524">
                  <c:v>3.1379999999999999</c:v>
                </c:pt>
                <c:pt idx="2525">
                  <c:v>3.0779999999999998</c:v>
                </c:pt>
                <c:pt idx="2526">
                  <c:v>3.0310000000000001</c:v>
                </c:pt>
                <c:pt idx="2527">
                  <c:v>2.9990000000000001</c:v>
                </c:pt>
                <c:pt idx="2528">
                  <c:v>2.9569999999999999</c:v>
                </c:pt>
                <c:pt idx="2529">
                  <c:v>2.9220000000000002</c:v>
                </c:pt>
                <c:pt idx="2530">
                  <c:v>2.9129999999999998</c:v>
                </c:pt>
                <c:pt idx="2531">
                  <c:v>2.9039999999999999</c:v>
                </c:pt>
                <c:pt idx="2532">
                  <c:v>2.9369999999999998</c:v>
                </c:pt>
                <c:pt idx="2533">
                  <c:v>2.931</c:v>
                </c:pt>
                <c:pt idx="2534">
                  <c:v>2.9340000000000002</c:v>
                </c:pt>
                <c:pt idx="2535">
                  <c:v>2.948</c:v>
                </c:pt>
                <c:pt idx="2536">
                  <c:v>2.968</c:v>
                </c:pt>
                <c:pt idx="2537">
                  <c:v>2.9340000000000002</c:v>
                </c:pt>
                <c:pt idx="2538">
                  <c:v>2.911</c:v>
                </c:pt>
                <c:pt idx="2539">
                  <c:v>2.919</c:v>
                </c:pt>
                <c:pt idx="2540">
                  <c:v>2.8959999999999999</c:v>
                </c:pt>
                <c:pt idx="2541">
                  <c:v>2.8940000000000001</c:v>
                </c:pt>
                <c:pt idx="2542">
                  <c:v>2.867</c:v>
                </c:pt>
                <c:pt idx="2543">
                  <c:v>2.9409999999999998</c:v>
                </c:pt>
                <c:pt idx="2544">
                  <c:v>2.347</c:v>
                </c:pt>
                <c:pt idx="2545">
                  <c:v>2.3220000000000001</c:v>
                </c:pt>
                <c:pt idx="2546">
                  <c:v>2.306</c:v>
                </c:pt>
                <c:pt idx="2547">
                  <c:v>2.2930000000000001</c:v>
                </c:pt>
                <c:pt idx="2548">
                  <c:v>2.3029999999999999</c:v>
                </c:pt>
                <c:pt idx="2549">
                  <c:v>2.2490000000000001</c:v>
                </c:pt>
                <c:pt idx="2550">
                  <c:v>2.2370000000000001</c:v>
                </c:pt>
                <c:pt idx="2551">
                  <c:v>2.234</c:v>
                </c:pt>
                <c:pt idx="2552">
                  <c:v>2.2349999999999999</c:v>
                </c:pt>
                <c:pt idx="2553">
                  <c:v>2.2509999999999999</c:v>
                </c:pt>
                <c:pt idx="2554">
                  <c:v>2.2250000000000001</c:v>
                </c:pt>
                <c:pt idx="2555">
                  <c:v>2.234</c:v>
                </c:pt>
                <c:pt idx="2556">
                  <c:v>2.2650000000000001</c:v>
                </c:pt>
                <c:pt idx="2557">
                  <c:v>2.3519999999999999</c:v>
                </c:pt>
                <c:pt idx="2558">
                  <c:v>2.2210000000000001</c:v>
                </c:pt>
                <c:pt idx="2559">
                  <c:v>2.2120000000000002</c:v>
                </c:pt>
                <c:pt idx="2560">
                  <c:v>2.177</c:v>
                </c:pt>
                <c:pt idx="2561">
                  <c:v>2.181</c:v>
                </c:pt>
                <c:pt idx="2562">
                  <c:v>2.1589999999999998</c:v>
                </c:pt>
                <c:pt idx="2563">
                  <c:v>2.15</c:v>
                </c:pt>
                <c:pt idx="2564">
                  <c:v>2.1440000000000001</c:v>
                </c:pt>
                <c:pt idx="2565">
                  <c:v>2.1230000000000002</c:v>
                </c:pt>
                <c:pt idx="2566">
                  <c:v>2.1150000000000002</c:v>
                </c:pt>
                <c:pt idx="2567">
                  <c:v>2.117</c:v>
                </c:pt>
                <c:pt idx="2568">
                  <c:v>2.11</c:v>
                </c:pt>
                <c:pt idx="2569">
                  <c:v>2.12</c:v>
                </c:pt>
                <c:pt idx="2570">
                  <c:v>2.1469999999999998</c:v>
                </c:pt>
                <c:pt idx="2571">
                  <c:v>1.498</c:v>
                </c:pt>
                <c:pt idx="2572">
                  <c:v>1.248</c:v>
                </c:pt>
                <c:pt idx="2573">
                  <c:v>1.204</c:v>
                </c:pt>
                <c:pt idx="2574">
                  <c:v>1.228</c:v>
                </c:pt>
                <c:pt idx="2575">
                  <c:v>1.1930000000000001</c:v>
                </c:pt>
                <c:pt idx="2576">
                  <c:v>1.2090000000000001</c:v>
                </c:pt>
                <c:pt idx="2577">
                  <c:v>1.228</c:v>
                </c:pt>
                <c:pt idx="2578">
                  <c:v>1.2729999999999999</c:v>
                </c:pt>
                <c:pt idx="2579">
                  <c:v>1.2110000000000001</c:v>
                </c:pt>
                <c:pt idx="2580">
                  <c:v>1.2190000000000001</c:v>
                </c:pt>
                <c:pt idx="2581">
                  <c:v>1.2010000000000001</c:v>
                </c:pt>
                <c:pt idx="2582">
                  <c:v>1.1859999999999999</c:v>
                </c:pt>
                <c:pt idx="2583">
                  <c:v>1.1910000000000001</c:v>
                </c:pt>
                <c:pt idx="2584">
                  <c:v>1.1870000000000001</c:v>
                </c:pt>
                <c:pt idx="2585">
                  <c:v>1.2909999999999999</c:v>
                </c:pt>
                <c:pt idx="2586">
                  <c:v>1.2450000000000001</c:v>
                </c:pt>
                <c:pt idx="2587">
                  <c:v>1.2290000000000001</c:v>
                </c:pt>
                <c:pt idx="2588">
                  <c:v>1.2350000000000001</c:v>
                </c:pt>
                <c:pt idx="2589">
                  <c:v>1.2430000000000001</c:v>
                </c:pt>
                <c:pt idx="2590">
                  <c:v>1.2809999999999999</c:v>
                </c:pt>
                <c:pt idx="2591">
                  <c:v>1.2809999999999999</c:v>
                </c:pt>
                <c:pt idx="2592">
                  <c:v>1.2809999999999999</c:v>
                </c:pt>
                <c:pt idx="2593">
                  <c:v>1.2949999999999999</c:v>
                </c:pt>
                <c:pt idx="2594">
                  <c:v>1.302</c:v>
                </c:pt>
                <c:pt idx="2595">
                  <c:v>1.2889999999999999</c:v>
                </c:pt>
                <c:pt idx="2596">
                  <c:v>1.2949999999999999</c:v>
                </c:pt>
                <c:pt idx="2597">
                  <c:v>1.306</c:v>
                </c:pt>
                <c:pt idx="2598">
                  <c:v>1.3740000000000001</c:v>
                </c:pt>
                <c:pt idx="2599">
                  <c:v>1.28</c:v>
                </c:pt>
                <c:pt idx="2600">
                  <c:v>1.284</c:v>
                </c:pt>
                <c:pt idx="2601">
                  <c:v>1.2829999999999999</c:v>
                </c:pt>
                <c:pt idx="2602">
                  <c:v>1.2769999999999999</c:v>
                </c:pt>
                <c:pt idx="2603">
                  <c:v>1.2609999999999999</c:v>
                </c:pt>
                <c:pt idx="2604">
                  <c:v>1.2430000000000001</c:v>
                </c:pt>
                <c:pt idx="2605">
                  <c:v>1.335</c:v>
                </c:pt>
                <c:pt idx="2606">
                  <c:v>0.84499999999999997</c:v>
                </c:pt>
                <c:pt idx="2607">
                  <c:v>0.85099999999999998</c:v>
                </c:pt>
                <c:pt idx="2608">
                  <c:v>0.85499999999999998</c:v>
                </c:pt>
                <c:pt idx="2609">
                  <c:v>0.86499999999999999</c:v>
                </c:pt>
                <c:pt idx="2610">
                  <c:v>0.88500000000000001</c:v>
                </c:pt>
                <c:pt idx="2611">
                  <c:v>0.88800000000000001</c:v>
                </c:pt>
                <c:pt idx="2612">
                  <c:v>0.90100000000000002</c:v>
                </c:pt>
                <c:pt idx="2613">
                  <c:v>0.92</c:v>
                </c:pt>
                <c:pt idx="2614">
                  <c:v>0.93700000000000006</c:v>
                </c:pt>
                <c:pt idx="2615">
                  <c:v>0.93100000000000005</c:v>
                </c:pt>
                <c:pt idx="2616">
                  <c:v>0.97099999999999997</c:v>
                </c:pt>
                <c:pt idx="2617">
                  <c:v>0.97899999999999998</c:v>
                </c:pt>
                <c:pt idx="2618">
                  <c:v>0.97199999999999998</c:v>
                </c:pt>
                <c:pt idx="2619">
                  <c:v>0.96399999999999997</c:v>
                </c:pt>
                <c:pt idx="2620">
                  <c:v>1.6359999999999999</c:v>
                </c:pt>
                <c:pt idx="2621">
                  <c:v>0.96</c:v>
                </c:pt>
                <c:pt idx="2622">
                  <c:v>0.89100000000000001</c:v>
                </c:pt>
                <c:pt idx="2623">
                  <c:v>0.82599999999999996</c:v>
                </c:pt>
                <c:pt idx="2624">
                  <c:v>0.78600000000000003</c:v>
                </c:pt>
                <c:pt idx="2625">
                  <c:v>1.006</c:v>
                </c:pt>
                <c:pt idx="2626">
                  <c:v>0.85799999999999998</c:v>
                </c:pt>
                <c:pt idx="2627">
                  <c:v>0.95799999999999996</c:v>
                </c:pt>
                <c:pt idx="2628">
                  <c:v>0.89100000000000001</c:v>
                </c:pt>
                <c:pt idx="2629">
                  <c:v>0.92</c:v>
                </c:pt>
                <c:pt idx="2630">
                  <c:v>0.97399999999999998</c:v>
                </c:pt>
                <c:pt idx="2631">
                  <c:v>0.96399999999999997</c:v>
                </c:pt>
                <c:pt idx="2632">
                  <c:v>0.97799999999999998</c:v>
                </c:pt>
                <c:pt idx="2633">
                  <c:v>1</c:v>
                </c:pt>
                <c:pt idx="2634">
                  <c:v>0.95399999999999996</c:v>
                </c:pt>
                <c:pt idx="2635">
                  <c:v>0.85299999999999998</c:v>
                </c:pt>
                <c:pt idx="2636">
                  <c:v>0.69899999999999995</c:v>
                </c:pt>
                <c:pt idx="2637">
                  <c:v>0.63800000000000001</c:v>
                </c:pt>
                <c:pt idx="2638">
                  <c:v>0.58299999999999996</c:v>
                </c:pt>
                <c:pt idx="2639">
                  <c:v>0.51100000000000001</c:v>
                </c:pt>
                <c:pt idx="2640">
                  <c:v>0.58799999999999997</c:v>
                </c:pt>
                <c:pt idx="2641">
                  <c:v>0.5</c:v>
                </c:pt>
                <c:pt idx="2642">
                  <c:v>0.52300000000000002</c:v>
                </c:pt>
                <c:pt idx="2643">
                  <c:v>0.53200000000000003</c:v>
                </c:pt>
                <c:pt idx="2644">
                  <c:v>0.51900000000000002</c:v>
                </c:pt>
                <c:pt idx="2645">
                  <c:v>0.51200000000000001</c:v>
                </c:pt>
                <c:pt idx="2646">
                  <c:v>0.48599999999999999</c:v>
                </c:pt>
                <c:pt idx="2647">
                  <c:v>0.85099999999999998</c:v>
                </c:pt>
                <c:pt idx="2648">
                  <c:v>0.72899999999999998</c:v>
                </c:pt>
                <c:pt idx="2649">
                  <c:v>0.71699999999999997</c:v>
                </c:pt>
                <c:pt idx="2650">
                  <c:v>0.72799999999999998</c:v>
                </c:pt>
                <c:pt idx="2651">
                  <c:v>0.76900000000000002</c:v>
                </c:pt>
                <c:pt idx="2652">
                  <c:v>0.83799999999999997</c:v>
                </c:pt>
                <c:pt idx="2653">
                  <c:v>0.92200000000000004</c:v>
                </c:pt>
                <c:pt idx="2654">
                  <c:v>0.92400000000000004</c:v>
                </c:pt>
                <c:pt idx="2655">
                  <c:v>1.0820000000000001</c:v>
                </c:pt>
                <c:pt idx="2656">
                  <c:v>1.1220000000000001</c:v>
                </c:pt>
                <c:pt idx="2657">
                  <c:v>1.1459999999999999</c:v>
                </c:pt>
                <c:pt idx="2658">
                  <c:v>1.01</c:v>
                </c:pt>
                <c:pt idx="2659">
                  <c:v>0.90100000000000002</c:v>
                </c:pt>
                <c:pt idx="2660">
                  <c:v>0.83099999999999996</c:v>
                </c:pt>
                <c:pt idx="2661">
                  <c:v>0.68700000000000006</c:v>
                </c:pt>
                <c:pt idx="2662">
                  <c:v>0.60699999999999998</c:v>
                </c:pt>
                <c:pt idx="2663">
                  <c:v>0.57999999999999996</c:v>
                </c:pt>
                <c:pt idx="2664">
                  <c:v>0.58099999999999996</c:v>
                </c:pt>
                <c:pt idx="2665">
                  <c:v>0.55000000000000004</c:v>
                </c:pt>
                <c:pt idx="2666">
                  <c:v>0.502</c:v>
                </c:pt>
                <c:pt idx="2667">
                  <c:v>0.73699999999999999</c:v>
                </c:pt>
                <c:pt idx="2668">
                  <c:v>0.79700000000000004</c:v>
                </c:pt>
                <c:pt idx="2669">
                  <c:v>0.78800000000000003</c:v>
                </c:pt>
                <c:pt idx="2670">
                  <c:v>0.83699999999999997</c:v>
                </c:pt>
                <c:pt idx="2671">
                  <c:v>0.84699999999999998</c:v>
                </c:pt>
                <c:pt idx="2672">
                  <c:v>0.85599999999999998</c:v>
                </c:pt>
                <c:pt idx="2673">
                  <c:v>0.85199999999999998</c:v>
                </c:pt>
                <c:pt idx="2674">
                  <c:v>0.84299999999999997</c:v>
                </c:pt>
                <c:pt idx="2675">
                  <c:v>0.79300000000000004</c:v>
                </c:pt>
                <c:pt idx="2676">
                  <c:v>0.76</c:v>
                </c:pt>
                <c:pt idx="2677">
                  <c:v>0.752</c:v>
                </c:pt>
                <c:pt idx="2678">
                  <c:v>1.3859999999999999</c:v>
                </c:pt>
                <c:pt idx="2679">
                  <c:v>0.432</c:v>
                </c:pt>
                <c:pt idx="2680">
                  <c:v>0.38800000000000001</c:v>
                </c:pt>
                <c:pt idx="2681">
                  <c:v>0.38100000000000001</c:v>
                </c:pt>
                <c:pt idx="2682">
                  <c:v>0.40100000000000002</c:v>
                </c:pt>
                <c:pt idx="2683">
                  <c:v>0.34399999999999997</c:v>
                </c:pt>
                <c:pt idx="2684">
                  <c:v>0.36</c:v>
                </c:pt>
                <c:pt idx="2685">
                  <c:v>0.32800000000000001</c:v>
                </c:pt>
                <c:pt idx="2686">
                  <c:v>0.33200000000000002</c:v>
                </c:pt>
                <c:pt idx="2687">
                  <c:v>0.47599999999999998</c:v>
                </c:pt>
                <c:pt idx="2688">
                  <c:v>0.36199999999999999</c:v>
                </c:pt>
                <c:pt idx="2689">
                  <c:v>0.36</c:v>
                </c:pt>
                <c:pt idx="2690">
                  <c:v>0.34</c:v>
                </c:pt>
                <c:pt idx="2691">
                  <c:v>0.35299999999999998</c:v>
                </c:pt>
                <c:pt idx="2692">
                  <c:v>0.36299999999999999</c:v>
                </c:pt>
                <c:pt idx="2693">
                  <c:v>0.34499999999999997</c:v>
                </c:pt>
                <c:pt idx="2694">
                  <c:v>0.35799999999999998</c:v>
                </c:pt>
                <c:pt idx="2695">
                  <c:v>0.35599999999999998</c:v>
                </c:pt>
                <c:pt idx="2696">
                  <c:v>0.35399999999999998</c:v>
                </c:pt>
                <c:pt idx="2697">
                  <c:v>0.36499999999999999</c:v>
                </c:pt>
                <c:pt idx="2698">
                  <c:v>0.36599999999999999</c:v>
                </c:pt>
                <c:pt idx="2699">
                  <c:v>0.35499999999999998</c:v>
                </c:pt>
                <c:pt idx="2700">
                  <c:v>0.34599999999999997</c:v>
                </c:pt>
                <c:pt idx="2701">
                  <c:v>0.34499999999999997</c:v>
                </c:pt>
                <c:pt idx="2702">
                  <c:v>0.34899999999999998</c:v>
                </c:pt>
                <c:pt idx="2703">
                  <c:v>0.34899999999999998</c:v>
                </c:pt>
                <c:pt idx="2704">
                  <c:v>0.36</c:v>
                </c:pt>
                <c:pt idx="2705">
                  <c:v>0.35799999999999998</c:v>
                </c:pt>
                <c:pt idx="2706">
                  <c:v>0.34599999999999997</c:v>
                </c:pt>
                <c:pt idx="2707">
                  <c:v>0.35099999999999998</c:v>
                </c:pt>
                <c:pt idx="2708">
                  <c:v>0.34300000000000003</c:v>
                </c:pt>
                <c:pt idx="2709">
                  <c:v>0.33400000000000002</c:v>
                </c:pt>
                <c:pt idx="2710">
                  <c:v>0.34100000000000003</c:v>
                </c:pt>
                <c:pt idx="2711">
                  <c:v>0.33200000000000002</c:v>
                </c:pt>
                <c:pt idx="2712">
                  <c:v>0.47299999999999998</c:v>
                </c:pt>
                <c:pt idx="2713">
                  <c:v>0.33900000000000002</c:v>
                </c:pt>
                <c:pt idx="2714">
                  <c:v>0.34200000000000003</c:v>
                </c:pt>
                <c:pt idx="2715">
                  <c:v>0.33800000000000002</c:v>
                </c:pt>
                <c:pt idx="2716">
                  <c:v>0.34799999999999998</c:v>
                </c:pt>
                <c:pt idx="2717">
                  <c:v>0.34499999999999997</c:v>
                </c:pt>
                <c:pt idx="2718">
                  <c:v>0.34300000000000003</c:v>
                </c:pt>
                <c:pt idx="2719">
                  <c:v>0.33300000000000002</c:v>
                </c:pt>
                <c:pt idx="2720">
                  <c:v>0.34</c:v>
                </c:pt>
                <c:pt idx="2721">
                  <c:v>0.34699999999999998</c:v>
                </c:pt>
                <c:pt idx="2722">
                  <c:v>0.34599999999999997</c:v>
                </c:pt>
                <c:pt idx="2723">
                  <c:v>0.34100000000000003</c:v>
                </c:pt>
                <c:pt idx="2724">
                  <c:v>0.34200000000000003</c:v>
                </c:pt>
                <c:pt idx="2725">
                  <c:v>0.33400000000000002</c:v>
                </c:pt>
                <c:pt idx="2726">
                  <c:v>0.33900000000000002</c:v>
                </c:pt>
                <c:pt idx="2727">
                  <c:v>0.33400000000000002</c:v>
                </c:pt>
                <c:pt idx="2728">
                  <c:v>0.33400000000000002</c:v>
                </c:pt>
                <c:pt idx="2729">
                  <c:v>0.32900000000000001</c:v>
                </c:pt>
                <c:pt idx="2730">
                  <c:v>0.33300000000000002</c:v>
                </c:pt>
                <c:pt idx="2731">
                  <c:v>0.33800000000000002</c:v>
                </c:pt>
                <c:pt idx="2732">
                  <c:v>0.53500000000000003</c:v>
                </c:pt>
                <c:pt idx="2733">
                  <c:v>0.33200000000000002</c:v>
                </c:pt>
                <c:pt idx="2734">
                  <c:v>0.33800000000000002</c:v>
                </c:pt>
                <c:pt idx="2735">
                  <c:v>0.34</c:v>
                </c:pt>
                <c:pt idx="2736">
                  <c:v>0.35</c:v>
                </c:pt>
                <c:pt idx="2737">
                  <c:v>0.35499999999999998</c:v>
                </c:pt>
                <c:pt idx="2738">
                  <c:v>0.36899999999999999</c:v>
                </c:pt>
                <c:pt idx="2739">
                  <c:v>0.35899999999999999</c:v>
                </c:pt>
                <c:pt idx="2740">
                  <c:v>0.36599999999999999</c:v>
                </c:pt>
                <c:pt idx="2741">
                  <c:v>0.35</c:v>
                </c:pt>
                <c:pt idx="2742">
                  <c:v>0.35499999999999998</c:v>
                </c:pt>
                <c:pt idx="2743">
                  <c:v>0.34399999999999997</c:v>
                </c:pt>
                <c:pt idx="2744">
                  <c:v>0.34699999999999998</c:v>
                </c:pt>
                <c:pt idx="2745">
                  <c:v>0.34200000000000003</c:v>
                </c:pt>
                <c:pt idx="2746">
                  <c:v>0.35299999999999998</c:v>
                </c:pt>
                <c:pt idx="2747">
                  <c:v>0.35399999999999998</c:v>
                </c:pt>
                <c:pt idx="2748">
                  <c:v>0.53300000000000003</c:v>
                </c:pt>
                <c:pt idx="2749">
                  <c:v>0.34</c:v>
                </c:pt>
                <c:pt idx="2750">
                  <c:v>0.36099999999999999</c:v>
                </c:pt>
                <c:pt idx="2751">
                  <c:v>0.35399999999999998</c:v>
                </c:pt>
                <c:pt idx="2752">
                  <c:v>0.37</c:v>
                </c:pt>
                <c:pt idx="2753">
                  <c:v>0.33600000000000002</c:v>
                </c:pt>
                <c:pt idx="2754">
                  <c:v>0.33</c:v>
                </c:pt>
                <c:pt idx="2755">
                  <c:v>0.33300000000000002</c:v>
                </c:pt>
                <c:pt idx="2756">
                  <c:v>0.33500000000000002</c:v>
                </c:pt>
                <c:pt idx="2757">
                  <c:v>0.56999999999999995</c:v>
                </c:pt>
                <c:pt idx="2758">
                  <c:v>0.36699999999999999</c:v>
                </c:pt>
                <c:pt idx="2759">
                  <c:v>0.34</c:v>
                </c:pt>
                <c:pt idx="2760">
                  <c:v>0.34300000000000003</c:v>
                </c:pt>
                <c:pt idx="2761">
                  <c:v>0.35</c:v>
                </c:pt>
                <c:pt idx="2762">
                  <c:v>0.35199999999999998</c:v>
                </c:pt>
                <c:pt idx="2763">
                  <c:v>0.34699999999999998</c:v>
                </c:pt>
                <c:pt idx="2764">
                  <c:v>0.34699999999999998</c:v>
                </c:pt>
                <c:pt idx="2765">
                  <c:v>0.34300000000000003</c:v>
                </c:pt>
                <c:pt idx="2766">
                  <c:v>0.34</c:v>
                </c:pt>
                <c:pt idx="2767">
                  <c:v>0.33900000000000002</c:v>
                </c:pt>
                <c:pt idx="2768">
                  <c:v>0.34899999999999998</c:v>
                </c:pt>
                <c:pt idx="2769">
                  <c:v>0.34799999999999998</c:v>
                </c:pt>
                <c:pt idx="2770">
                  <c:v>0.39700000000000002</c:v>
                </c:pt>
                <c:pt idx="2771">
                  <c:v>0.32800000000000001</c:v>
                </c:pt>
                <c:pt idx="2772">
                  <c:v>0.32400000000000001</c:v>
                </c:pt>
                <c:pt idx="2773">
                  <c:v>0.33100000000000002</c:v>
                </c:pt>
                <c:pt idx="2774">
                  <c:v>0.33300000000000002</c:v>
                </c:pt>
                <c:pt idx="2775">
                  <c:v>0.32600000000000001</c:v>
                </c:pt>
                <c:pt idx="2776">
                  <c:v>0.33100000000000002</c:v>
                </c:pt>
                <c:pt idx="2777">
                  <c:v>0.69</c:v>
                </c:pt>
                <c:pt idx="2778">
                  <c:v>0.33900000000000002</c:v>
                </c:pt>
                <c:pt idx="2779">
                  <c:v>0.34300000000000003</c:v>
                </c:pt>
                <c:pt idx="2780">
                  <c:v>0.35599999999999998</c:v>
                </c:pt>
                <c:pt idx="2781">
                  <c:v>0.34699999999999998</c:v>
                </c:pt>
                <c:pt idx="2782">
                  <c:v>0.34399999999999997</c:v>
                </c:pt>
                <c:pt idx="2783">
                  <c:v>0.35</c:v>
                </c:pt>
                <c:pt idx="2784">
                  <c:v>0.35</c:v>
                </c:pt>
                <c:pt idx="2785">
                  <c:v>0.35</c:v>
                </c:pt>
                <c:pt idx="2786">
                  <c:v>0.35</c:v>
                </c:pt>
                <c:pt idx="2787">
                  <c:v>0.34599999999999997</c:v>
                </c:pt>
                <c:pt idx="2788">
                  <c:v>0.34899999999999998</c:v>
                </c:pt>
                <c:pt idx="2789">
                  <c:v>0.35499999999999998</c:v>
                </c:pt>
                <c:pt idx="2790">
                  <c:v>0.34200000000000003</c:v>
                </c:pt>
                <c:pt idx="2791">
                  <c:v>0.42599999999999999</c:v>
                </c:pt>
                <c:pt idx="2792">
                  <c:v>0.34399999999999997</c:v>
                </c:pt>
                <c:pt idx="2793">
                  <c:v>0.34899999999999998</c:v>
                </c:pt>
                <c:pt idx="2794">
                  <c:v>0.33600000000000002</c:v>
                </c:pt>
                <c:pt idx="2795">
                  <c:v>0.33900000000000002</c:v>
                </c:pt>
                <c:pt idx="2796">
                  <c:v>0.64200000000000002</c:v>
                </c:pt>
                <c:pt idx="2797">
                  <c:v>0.35099999999999998</c:v>
                </c:pt>
                <c:pt idx="2798">
                  <c:v>0.35199999999999998</c:v>
                </c:pt>
                <c:pt idx="2799">
                  <c:v>0.35099999999999998</c:v>
                </c:pt>
                <c:pt idx="2800">
                  <c:v>0.35299999999999998</c:v>
                </c:pt>
                <c:pt idx="2801">
                  <c:v>0.35199999999999998</c:v>
                </c:pt>
                <c:pt idx="2802">
                  <c:v>0.35199999999999998</c:v>
                </c:pt>
                <c:pt idx="2803">
                  <c:v>0.34699999999999998</c:v>
                </c:pt>
                <c:pt idx="2804">
                  <c:v>0.34300000000000003</c:v>
                </c:pt>
                <c:pt idx="2805">
                  <c:v>0.34300000000000003</c:v>
                </c:pt>
                <c:pt idx="2806">
                  <c:v>0.33200000000000002</c:v>
                </c:pt>
                <c:pt idx="2807">
                  <c:v>0.32300000000000001</c:v>
                </c:pt>
                <c:pt idx="2808">
                  <c:v>0.29899999999999999</c:v>
                </c:pt>
                <c:pt idx="2809">
                  <c:v>0.30199999999999999</c:v>
                </c:pt>
                <c:pt idx="2810">
                  <c:v>0.33400000000000002</c:v>
                </c:pt>
                <c:pt idx="2811">
                  <c:v>0.32600000000000001</c:v>
                </c:pt>
                <c:pt idx="2812">
                  <c:v>0.32100000000000001</c:v>
                </c:pt>
                <c:pt idx="2813">
                  <c:v>0.41</c:v>
                </c:pt>
                <c:pt idx="2814">
                  <c:v>0.34100000000000003</c:v>
                </c:pt>
                <c:pt idx="2815">
                  <c:v>0.32500000000000001</c:v>
                </c:pt>
                <c:pt idx="2816">
                  <c:v>0.32200000000000001</c:v>
                </c:pt>
                <c:pt idx="2817">
                  <c:v>0.35099999999999998</c:v>
                </c:pt>
                <c:pt idx="2818">
                  <c:v>0.34699999999999998</c:v>
                </c:pt>
                <c:pt idx="2819">
                  <c:v>0.33600000000000002</c:v>
                </c:pt>
                <c:pt idx="2820">
                  <c:v>0.33300000000000002</c:v>
                </c:pt>
                <c:pt idx="2821">
                  <c:v>0.32500000000000001</c:v>
                </c:pt>
                <c:pt idx="2822">
                  <c:v>0.318</c:v>
                </c:pt>
                <c:pt idx="2823">
                  <c:v>0.316</c:v>
                </c:pt>
                <c:pt idx="2824">
                  <c:v>0.32800000000000001</c:v>
                </c:pt>
                <c:pt idx="2825">
                  <c:v>0.58499999999999996</c:v>
                </c:pt>
                <c:pt idx="2826">
                  <c:v>0.33500000000000002</c:v>
                </c:pt>
                <c:pt idx="2827">
                  <c:v>0.32700000000000001</c:v>
                </c:pt>
                <c:pt idx="2828">
                  <c:v>0.32200000000000001</c:v>
                </c:pt>
                <c:pt idx="2829">
                  <c:v>0.33900000000000002</c:v>
                </c:pt>
                <c:pt idx="2830">
                  <c:v>0.33100000000000002</c:v>
                </c:pt>
                <c:pt idx="2831">
                  <c:v>0.33500000000000002</c:v>
                </c:pt>
                <c:pt idx="2832">
                  <c:v>0.33800000000000002</c:v>
                </c:pt>
                <c:pt idx="2833">
                  <c:v>0.32600000000000001</c:v>
                </c:pt>
                <c:pt idx="2834">
                  <c:v>0.32</c:v>
                </c:pt>
                <c:pt idx="2835">
                  <c:v>0.33</c:v>
                </c:pt>
                <c:pt idx="2836">
                  <c:v>0.32300000000000001</c:v>
                </c:pt>
                <c:pt idx="2837">
                  <c:v>0.318</c:v>
                </c:pt>
                <c:pt idx="2838">
                  <c:v>0.312</c:v>
                </c:pt>
                <c:pt idx="2839">
                  <c:v>0.315</c:v>
                </c:pt>
                <c:pt idx="2840">
                  <c:v>0.64200000000000002</c:v>
                </c:pt>
                <c:pt idx="2841">
                  <c:v>0.32</c:v>
                </c:pt>
                <c:pt idx="2842">
                  <c:v>0.318</c:v>
                </c:pt>
                <c:pt idx="2843">
                  <c:v>0.318</c:v>
                </c:pt>
                <c:pt idx="2844">
                  <c:v>0.31900000000000001</c:v>
                </c:pt>
                <c:pt idx="2845">
                  <c:v>0.32</c:v>
                </c:pt>
                <c:pt idx="2846">
                  <c:v>0.32200000000000001</c:v>
                </c:pt>
                <c:pt idx="2847">
                  <c:v>0.32900000000000001</c:v>
                </c:pt>
                <c:pt idx="2848">
                  <c:v>0.33</c:v>
                </c:pt>
                <c:pt idx="2849">
                  <c:v>0.33500000000000002</c:v>
                </c:pt>
                <c:pt idx="2850">
                  <c:v>0.33800000000000002</c:v>
                </c:pt>
                <c:pt idx="2851">
                  <c:v>0.34100000000000003</c:v>
                </c:pt>
                <c:pt idx="2852">
                  <c:v>0.34300000000000003</c:v>
                </c:pt>
                <c:pt idx="2853">
                  <c:v>0.31900000000000001</c:v>
                </c:pt>
                <c:pt idx="2854">
                  <c:v>0.314</c:v>
                </c:pt>
                <c:pt idx="2855">
                  <c:v>0.31900000000000001</c:v>
                </c:pt>
                <c:pt idx="2856">
                  <c:v>0.31900000000000001</c:v>
                </c:pt>
                <c:pt idx="2857">
                  <c:v>0.32400000000000001</c:v>
                </c:pt>
                <c:pt idx="2858">
                  <c:v>0.316</c:v>
                </c:pt>
                <c:pt idx="2859">
                  <c:v>0.312</c:v>
                </c:pt>
                <c:pt idx="2860">
                  <c:v>0.64300000000000002</c:v>
                </c:pt>
                <c:pt idx="2861">
                  <c:v>0.32600000000000001</c:v>
                </c:pt>
                <c:pt idx="2862">
                  <c:v>0.34599999999999997</c:v>
                </c:pt>
                <c:pt idx="2863">
                  <c:v>0.33700000000000002</c:v>
                </c:pt>
                <c:pt idx="2864">
                  <c:v>0.33300000000000002</c:v>
                </c:pt>
                <c:pt idx="2865">
                  <c:v>0.32100000000000001</c:v>
                </c:pt>
                <c:pt idx="2866">
                  <c:v>0.32800000000000001</c:v>
                </c:pt>
                <c:pt idx="2867">
                  <c:v>0.33200000000000002</c:v>
                </c:pt>
                <c:pt idx="2868">
                  <c:v>0.33800000000000002</c:v>
                </c:pt>
                <c:pt idx="2869">
                  <c:v>0.34200000000000003</c:v>
                </c:pt>
                <c:pt idx="2870">
                  <c:v>0.34799999999999998</c:v>
                </c:pt>
                <c:pt idx="2871">
                  <c:v>0.33</c:v>
                </c:pt>
                <c:pt idx="2872">
                  <c:v>0.34300000000000003</c:v>
                </c:pt>
                <c:pt idx="2873">
                  <c:v>0.33400000000000002</c:v>
                </c:pt>
                <c:pt idx="2874">
                  <c:v>0.34200000000000003</c:v>
                </c:pt>
                <c:pt idx="2875">
                  <c:v>0.34799999999999998</c:v>
                </c:pt>
                <c:pt idx="2876">
                  <c:v>0.40100000000000002</c:v>
                </c:pt>
                <c:pt idx="2877">
                  <c:v>0.32500000000000001</c:v>
                </c:pt>
                <c:pt idx="2878">
                  <c:v>0.32500000000000001</c:v>
                </c:pt>
                <c:pt idx="2879">
                  <c:v>0.31900000000000001</c:v>
                </c:pt>
                <c:pt idx="2880">
                  <c:v>0.32900000000000001</c:v>
                </c:pt>
                <c:pt idx="2881">
                  <c:v>0.33200000000000002</c:v>
                </c:pt>
                <c:pt idx="2882">
                  <c:v>0.32500000000000001</c:v>
                </c:pt>
                <c:pt idx="2883">
                  <c:v>0.34200000000000003</c:v>
                </c:pt>
                <c:pt idx="2884">
                  <c:v>0.65800000000000003</c:v>
                </c:pt>
                <c:pt idx="2885">
                  <c:v>0.33700000000000002</c:v>
                </c:pt>
                <c:pt idx="2886">
                  <c:v>0.33800000000000002</c:v>
                </c:pt>
                <c:pt idx="2887">
                  <c:v>0.33400000000000002</c:v>
                </c:pt>
                <c:pt idx="2888">
                  <c:v>0.33900000000000002</c:v>
                </c:pt>
                <c:pt idx="2889">
                  <c:v>0.34300000000000003</c:v>
                </c:pt>
                <c:pt idx="2890">
                  <c:v>0.34300000000000003</c:v>
                </c:pt>
                <c:pt idx="2891">
                  <c:v>0.33900000000000002</c:v>
                </c:pt>
                <c:pt idx="2892">
                  <c:v>0.33800000000000002</c:v>
                </c:pt>
                <c:pt idx="2893">
                  <c:v>0.34499999999999997</c:v>
                </c:pt>
                <c:pt idx="2894">
                  <c:v>0.34599999999999997</c:v>
                </c:pt>
                <c:pt idx="2895">
                  <c:v>0.34699999999999998</c:v>
                </c:pt>
                <c:pt idx="2896">
                  <c:v>0.34899999999999998</c:v>
                </c:pt>
                <c:pt idx="2897">
                  <c:v>0.33700000000000002</c:v>
                </c:pt>
                <c:pt idx="2898">
                  <c:v>0.33900000000000002</c:v>
                </c:pt>
                <c:pt idx="2899">
                  <c:v>0.34</c:v>
                </c:pt>
                <c:pt idx="2900">
                  <c:v>0.34399999999999997</c:v>
                </c:pt>
                <c:pt idx="2901">
                  <c:v>0.33500000000000002</c:v>
                </c:pt>
                <c:pt idx="2902">
                  <c:v>0.32100000000000001</c:v>
                </c:pt>
                <c:pt idx="2903">
                  <c:v>0.34100000000000003</c:v>
                </c:pt>
                <c:pt idx="2904">
                  <c:v>0.64500000000000002</c:v>
                </c:pt>
                <c:pt idx="2905">
                  <c:v>0.307</c:v>
                </c:pt>
                <c:pt idx="2906">
                  <c:v>0.307</c:v>
                </c:pt>
                <c:pt idx="2907">
                  <c:v>0.33900000000000002</c:v>
                </c:pt>
                <c:pt idx="2908">
                  <c:v>0.32500000000000001</c:v>
                </c:pt>
                <c:pt idx="2909">
                  <c:v>0.32700000000000001</c:v>
                </c:pt>
                <c:pt idx="2910">
                  <c:v>0.32900000000000001</c:v>
                </c:pt>
                <c:pt idx="2911">
                  <c:v>0.34200000000000003</c:v>
                </c:pt>
                <c:pt idx="2912">
                  <c:v>0.30299999999999999</c:v>
                </c:pt>
                <c:pt idx="2913">
                  <c:v>0.30299999999999999</c:v>
                </c:pt>
                <c:pt idx="2914">
                  <c:v>0.33700000000000002</c:v>
                </c:pt>
                <c:pt idx="2915">
                  <c:v>0.33900000000000002</c:v>
                </c:pt>
                <c:pt idx="2916">
                  <c:v>0.33100000000000002</c:v>
                </c:pt>
                <c:pt idx="2917">
                  <c:v>0.33800000000000002</c:v>
                </c:pt>
                <c:pt idx="2918">
                  <c:v>0.33</c:v>
                </c:pt>
                <c:pt idx="2919">
                  <c:v>0.32900000000000001</c:v>
                </c:pt>
                <c:pt idx="2920">
                  <c:v>0.3</c:v>
                </c:pt>
                <c:pt idx="2921">
                  <c:v>0.29499999999999998</c:v>
                </c:pt>
                <c:pt idx="2922">
                  <c:v>0.32200000000000001</c:v>
                </c:pt>
                <c:pt idx="2923">
                  <c:v>0.32400000000000001</c:v>
                </c:pt>
                <c:pt idx="2924">
                  <c:v>0.318</c:v>
                </c:pt>
                <c:pt idx="2925">
                  <c:v>0.33200000000000002</c:v>
                </c:pt>
                <c:pt idx="2926">
                  <c:v>0.33400000000000002</c:v>
                </c:pt>
                <c:pt idx="2927">
                  <c:v>0.32600000000000001</c:v>
                </c:pt>
                <c:pt idx="2928">
                  <c:v>0.318</c:v>
                </c:pt>
                <c:pt idx="2929">
                  <c:v>0.66500000000000004</c:v>
                </c:pt>
                <c:pt idx="2930">
                  <c:v>0.34100000000000003</c:v>
                </c:pt>
                <c:pt idx="2931">
                  <c:v>0.35399999999999998</c:v>
                </c:pt>
                <c:pt idx="2932">
                  <c:v>0.36799999999999999</c:v>
                </c:pt>
                <c:pt idx="2933">
                  <c:v>0.34699999999999998</c:v>
                </c:pt>
                <c:pt idx="2934">
                  <c:v>0.35</c:v>
                </c:pt>
                <c:pt idx="2935">
                  <c:v>0.32800000000000001</c:v>
                </c:pt>
                <c:pt idx="2936">
                  <c:v>0.32900000000000001</c:v>
                </c:pt>
                <c:pt idx="2937">
                  <c:v>0.32100000000000001</c:v>
                </c:pt>
                <c:pt idx="2938">
                  <c:v>0.32600000000000001</c:v>
                </c:pt>
                <c:pt idx="2939">
                  <c:v>0.32500000000000001</c:v>
                </c:pt>
                <c:pt idx="2940">
                  <c:v>0.54200000000000004</c:v>
                </c:pt>
                <c:pt idx="2941">
                  <c:v>0.48</c:v>
                </c:pt>
                <c:pt idx="2942">
                  <c:v>0.437</c:v>
                </c:pt>
                <c:pt idx="2943">
                  <c:v>0.40500000000000003</c:v>
                </c:pt>
                <c:pt idx="2944">
                  <c:v>0.42399999999999999</c:v>
                </c:pt>
                <c:pt idx="2945">
                  <c:v>0.41399999999999998</c:v>
                </c:pt>
                <c:pt idx="2946">
                  <c:v>0.39800000000000002</c:v>
                </c:pt>
                <c:pt idx="2947">
                  <c:v>0.39400000000000002</c:v>
                </c:pt>
                <c:pt idx="2948">
                  <c:v>0.39300000000000002</c:v>
                </c:pt>
                <c:pt idx="2949">
                  <c:v>0.75</c:v>
                </c:pt>
                <c:pt idx="2950">
                  <c:v>0.44400000000000001</c:v>
                </c:pt>
                <c:pt idx="2951">
                  <c:v>0.48799999999999999</c:v>
                </c:pt>
                <c:pt idx="2952">
                  <c:v>0.55600000000000005</c:v>
                </c:pt>
                <c:pt idx="2953">
                  <c:v>0.55500000000000005</c:v>
                </c:pt>
                <c:pt idx="2954">
                  <c:v>0.55400000000000005</c:v>
                </c:pt>
                <c:pt idx="2955">
                  <c:v>0.52800000000000002</c:v>
                </c:pt>
                <c:pt idx="2956">
                  <c:v>0.52400000000000002</c:v>
                </c:pt>
                <c:pt idx="2957">
                  <c:v>0.5</c:v>
                </c:pt>
                <c:pt idx="2958">
                  <c:v>0.497</c:v>
                </c:pt>
                <c:pt idx="2959">
                  <c:v>0.49</c:v>
                </c:pt>
                <c:pt idx="2960">
                  <c:v>0.47799999999999998</c:v>
                </c:pt>
                <c:pt idx="2961">
                  <c:v>0.45300000000000001</c:v>
                </c:pt>
                <c:pt idx="2962">
                  <c:v>0.42299999999999999</c:v>
                </c:pt>
                <c:pt idx="2963">
                  <c:v>0.39900000000000002</c:v>
                </c:pt>
                <c:pt idx="2964">
                  <c:v>0.377</c:v>
                </c:pt>
                <c:pt idx="2965">
                  <c:v>0.36499999999999999</c:v>
                </c:pt>
                <c:pt idx="2966">
                  <c:v>0.36299999999999999</c:v>
                </c:pt>
                <c:pt idx="2967">
                  <c:v>0.34899999999999998</c:v>
                </c:pt>
                <c:pt idx="2968">
                  <c:v>0.34399999999999997</c:v>
                </c:pt>
                <c:pt idx="2969">
                  <c:v>0.76900000000000002</c:v>
                </c:pt>
                <c:pt idx="2970">
                  <c:v>0.47699999999999998</c:v>
                </c:pt>
                <c:pt idx="2971">
                  <c:v>0.46400000000000002</c:v>
                </c:pt>
                <c:pt idx="2972">
                  <c:v>0.44900000000000001</c:v>
                </c:pt>
                <c:pt idx="2973">
                  <c:v>0.44800000000000001</c:v>
                </c:pt>
                <c:pt idx="2974">
                  <c:v>0.443</c:v>
                </c:pt>
                <c:pt idx="2975">
                  <c:v>0.44</c:v>
                </c:pt>
                <c:pt idx="2976">
                  <c:v>0.43</c:v>
                </c:pt>
                <c:pt idx="2977">
                  <c:v>0.42799999999999999</c:v>
                </c:pt>
                <c:pt idx="2978">
                  <c:v>0.42299999999999999</c:v>
                </c:pt>
                <c:pt idx="2979">
                  <c:v>0.41</c:v>
                </c:pt>
                <c:pt idx="2980">
                  <c:v>0.41099999999999998</c:v>
                </c:pt>
                <c:pt idx="2981">
                  <c:v>0.40799999999999997</c:v>
                </c:pt>
                <c:pt idx="2982">
                  <c:v>0.39</c:v>
                </c:pt>
                <c:pt idx="2983">
                  <c:v>0.38400000000000001</c:v>
                </c:pt>
                <c:pt idx="2984">
                  <c:v>0.39200000000000002</c:v>
                </c:pt>
                <c:pt idx="2985">
                  <c:v>0.37</c:v>
                </c:pt>
                <c:pt idx="2986">
                  <c:v>0.36399999999999999</c:v>
                </c:pt>
                <c:pt idx="2987">
                  <c:v>0.36</c:v>
                </c:pt>
                <c:pt idx="2988">
                  <c:v>0.377</c:v>
                </c:pt>
                <c:pt idx="2989">
                  <c:v>0.69499999999999995</c:v>
                </c:pt>
                <c:pt idx="2990">
                  <c:v>0.42299999999999999</c:v>
                </c:pt>
                <c:pt idx="2991">
                  <c:v>0.41899999999999998</c:v>
                </c:pt>
                <c:pt idx="2992">
                  <c:v>0.41499999999999998</c:v>
                </c:pt>
                <c:pt idx="2993">
                  <c:v>0.42199999999999999</c:v>
                </c:pt>
                <c:pt idx="2994">
                  <c:v>0.438</c:v>
                </c:pt>
                <c:pt idx="2995">
                  <c:v>0.45500000000000002</c:v>
                </c:pt>
                <c:pt idx="2996">
                  <c:v>0.45500000000000002</c:v>
                </c:pt>
                <c:pt idx="2997">
                  <c:v>0.44800000000000001</c:v>
                </c:pt>
                <c:pt idx="2998">
                  <c:v>0.44600000000000001</c:v>
                </c:pt>
                <c:pt idx="2999">
                  <c:v>0.44</c:v>
                </c:pt>
                <c:pt idx="3000">
                  <c:v>0.438</c:v>
                </c:pt>
                <c:pt idx="3001">
                  <c:v>0.439</c:v>
                </c:pt>
                <c:pt idx="3002">
                  <c:v>0.434</c:v>
                </c:pt>
                <c:pt idx="3003">
                  <c:v>0.43</c:v>
                </c:pt>
                <c:pt idx="3004">
                  <c:v>0.42499999999999999</c:v>
                </c:pt>
                <c:pt idx="3005">
                  <c:v>0.40799999999999997</c:v>
                </c:pt>
                <c:pt idx="3006">
                  <c:v>0.878</c:v>
                </c:pt>
                <c:pt idx="3007">
                  <c:v>0.72099999999999997</c:v>
                </c:pt>
                <c:pt idx="3008">
                  <c:v>0.67</c:v>
                </c:pt>
                <c:pt idx="3009">
                  <c:v>0.51600000000000001</c:v>
                </c:pt>
                <c:pt idx="3010">
                  <c:v>0.438</c:v>
                </c:pt>
                <c:pt idx="3011">
                  <c:v>0.40200000000000002</c:v>
                </c:pt>
                <c:pt idx="3012">
                  <c:v>0.39600000000000002</c:v>
                </c:pt>
                <c:pt idx="3013">
                  <c:v>0.39</c:v>
                </c:pt>
                <c:pt idx="3014">
                  <c:v>0.76200000000000001</c:v>
                </c:pt>
                <c:pt idx="3015">
                  <c:v>0.72599999999999998</c:v>
                </c:pt>
                <c:pt idx="3016">
                  <c:v>0.74199999999999999</c:v>
                </c:pt>
                <c:pt idx="3017">
                  <c:v>0.745</c:v>
                </c:pt>
                <c:pt idx="3018">
                  <c:v>0.77800000000000002</c:v>
                </c:pt>
                <c:pt idx="3019">
                  <c:v>0.81</c:v>
                </c:pt>
                <c:pt idx="3020">
                  <c:v>0.84299999999999997</c:v>
                </c:pt>
                <c:pt idx="3021">
                  <c:v>0.86199999999999999</c:v>
                </c:pt>
                <c:pt idx="3022">
                  <c:v>0.84899999999999998</c:v>
                </c:pt>
                <c:pt idx="3023">
                  <c:v>0.85899999999999999</c:v>
                </c:pt>
                <c:pt idx="3024">
                  <c:v>0.86</c:v>
                </c:pt>
                <c:pt idx="3025">
                  <c:v>0.84899999999999998</c:v>
                </c:pt>
                <c:pt idx="3026">
                  <c:v>0.78500000000000003</c:v>
                </c:pt>
                <c:pt idx="3027">
                  <c:v>0.72399999999999998</c:v>
                </c:pt>
                <c:pt idx="3028">
                  <c:v>0.68300000000000005</c:v>
                </c:pt>
                <c:pt idx="3029">
                  <c:v>0.66400000000000003</c:v>
                </c:pt>
                <c:pt idx="3030">
                  <c:v>0.57899999999999996</c:v>
                </c:pt>
                <c:pt idx="3031">
                  <c:v>0.45600000000000002</c:v>
                </c:pt>
                <c:pt idx="3032">
                  <c:v>0.36499999999999999</c:v>
                </c:pt>
                <c:pt idx="3033">
                  <c:v>0.371</c:v>
                </c:pt>
                <c:pt idx="3034">
                  <c:v>0.72899999999999998</c:v>
                </c:pt>
                <c:pt idx="3035">
                  <c:v>0.80500000000000005</c:v>
                </c:pt>
                <c:pt idx="3036">
                  <c:v>0.79800000000000004</c:v>
                </c:pt>
                <c:pt idx="3037">
                  <c:v>0.79100000000000004</c:v>
                </c:pt>
                <c:pt idx="3038">
                  <c:v>0.76400000000000001</c:v>
                </c:pt>
                <c:pt idx="3039">
                  <c:v>0.745</c:v>
                </c:pt>
                <c:pt idx="3040">
                  <c:v>0.70699999999999996</c:v>
                </c:pt>
                <c:pt idx="3041">
                  <c:v>0.63200000000000001</c:v>
                </c:pt>
                <c:pt idx="3042">
                  <c:v>0.54500000000000004</c:v>
                </c:pt>
                <c:pt idx="3043">
                  <c:v>0.52100000000000002</c:v>
                </c:pt>
                <c:pt idx="3044">
                  <c:v>0.51400000000000001</c:v>
                </c:pt>
                <c:pt idx="3045">
                  <c:v>0.48199999999999998</c:v>
                </c:pt>
                <c:pt idx="3046">
                  <c:v>0.47399999999999998</c:v>
                </c:pt>
                <c:pt idx="3047">
                  <c:v>0.44600000000000001</c:v>
                </c:pt>
                <c:pt idx="3048">
                  <c:v>0.42799999999999999</c:v>
                </c:pt>
                <c:pt idx="3049">
                  <c:v>0.53900000000000003</c:v>
                </c:pt>
                <c:pt idx="3050">
                  <c:v>0.46800000000000003</c:v>
                </c:pt>
                <c:pt idx="3051">
                  <c:v>0.46200000000000002</c:v>
                </c:pt>
                <c:pt idx="3052">
                  <c:v>0.41399999999999998</c:v>
                </c:pt>
                <c:pt idx="3053">
                  <c:v>0.38600000000000001</c:v>
                </c:pt>
                <c:pt idx="3054">
                  <c:v>0.73799999999999999</c:v>
                </c:pt>
                <c:pt idx="3055">
                  <c:v>0.72099999999999997</c:v>
                </c:pt>
                <c:pt idx="3056">
                  <c:v>0.64600000000000002</c:v>
                </c:pt>
                <c:pt idx="3057">
                  <c:v>0.627</c:v>
                </c:pt>
                <c:pt idx="3058">
                  <c:v>0.58799999999999997</c:v>
                </c:pt>
                <c:pt idx="3059">
                  <c:v>0.56599999999999995</c:v>
                </c:pt>
                <c:pt idx="3060">
                  <c:v>0.50800000000000001</c:v>
                </c:pt>
                <c:pt idx="3061">
                  <c:v>0.45300000000000001</c:v>
                </c:pt>
                <c:pt idx="3062">
                  <c:v>0.432</c:v>
                </c:pt>
                <c:pt idx="3063">
                  <c:v>0.39800000000000002</c:v>
                </c:pt>
                <c:pt idx="3064">
                  <c:v>0.39100000000000001</c:v>
                </c:pt>
                <c:pt idx="3065">
                  <c:v>0.379</c:v>
                </c:pt>
                <c:pt idx="3066">
                  <c:v>0.35599999999999998</c:v>
                </c:pt>
                <c:pt idx="3067">
                  <c:v>0.39600000000000002</c:v>
                </c:pt>
                <c:pt idx="3068">
                  <c:v>0.441</c:v>
                </c:pt>
                <c:pt idx="3069">
                  <c:v>0.44700000000000001</c:v>
                </c:pt>
                <c:pt idx="3070">
                  <c:v>0.43</c:v>
                </c:pt>
                <c:pt idx="3071">
                  <c:v>0.39300000000000002</c:v>
                </c:pt>
                <c:pt idx="3072">
                  <c:v>0.81699999999999995</c:v>
                </c:pt>
                <c:pt idx="3073">
                  <c:v>0.42099999999999999</c:v>
                </c:pt>
                <c:pt idx="3074">
                  <c:v>0.42199999999999999</c:v>
                </c:pt>
                <c:pt idx="3075">
                  <c:v>0.39700000000000002</c:v>
                </c:pt>
                <c:pt idx="3076">
                  <c:v>0.379</c:v>
                </c:pt>
                <c:pt idx="3077">
                  <c:v>0.38</c:v>
                </c:pt>
                <c:pt idx="3078">
                  <c:v>0.38900000000000001</c:v>
                </c:pt>
                <c:pt idx="3079">
                  <c:v>0.376</c:v>
                </c:pt>
                <c:pt idx="3080">
                  <c:v>0.376</c:v>
                </c:pt>
                <c:pt idx="3081">
                  <c:v>0.375</c:v>
                </c:pt>
                <c:pt idx="3082">
                  <c:v>0.36099999999999999</c:v>
                </c:pt>
                <c:pt idx="3083">
                  <c:v>0.36699999999999999</c:v>
                </c:pt>
                <c:pt idx="3084">
                  <c:v>0.81399999999999995</c:v>
                </c:pt>
                <c:pt idx="3085">
                  <c:v>0.70499999999999996</c:v>
                </c:pt>
                <c:pt idx="3086">
                  <c:v>0.71299999999999997</c:v>
                </c:pt>
                <c:pt idx="3087">
                  <c:v>0.82399999999999995</c:v>
                </c:pt>
                <c:pt idx="3088">
                  <c:v>0.91600000000000004</c:v>
                </c:pt>
                <c:pt idx="3089">
                  <c:v>1.0349999999999999</c:v>
                </c:pt>
                <c:pt idx="3090">
                  <c:v>1.1719999999999999</c:v>
                </c:pt>
                <c:pt idx="3091">
                  <c:v>1.0629999999999999</c:v>
                </c:pt>
                <c:pt idx="3092">
                  <c:v>1.04</c:v>
                </c:pt>
                <c:pt idx="3093">
                  <c:v>1.3129999999999999</c:v>
                </c:pt>
                <c:pt idx="3094">
                  <c:v>1.3180000000000001</c:v>
                </c:pt>
                <c:pt idx="3095">
                  <c:v>0.79200000000000004</c:v>
                </c:pt>
                <c:pt idx="3096">
                  <c:v>0.52600000000000002</c:v>
                </c:pt>
                <c:pt idx="3097">
                  <c:v>0.36499999999999999</c:v>
                </c:pt>
                <c:pt idx="3098">
                  <c:v>0.34699999999999998</c:v>
                </c:pt>
                <c:pt idx="3099">
                  <c:v>0.67700000000000005</c:v>
                </c:pt>
                <c:pt idx="3100">
                  <c:v>1.093</c:v>
                </c:pt>
                <c:pt idx="3101">
                  <c:v>1.0229999999999999</c:v>
                </c:pt>
                <c:pt idx="3102">
                  <c:v>0.92400000000000004</c:v>
                </c:pt>
                <c:pt idx="3103">
                  <c:v>0.82699999999999996</c:v>
                </c:pt>
                <c:pt idx="3104">
                  <c:v>0.749</c:v>
                </c:pt>
                <c:pt idx="3105">
                  <c:v>0.7</c:v>
                </c:pt>
                <c:pt idx="3106">
                  <c:v>0.625</c:v>
                </c:pt>
                <c:pt idx="3107">
                  <c:v>0.504</c:v>
                </c:pt>
                <c:pt idx="3108">
                  <c:v>0.497</c:v>
                </c:pt>
                <c:pt idx="3109">
                  <c:v>0.53100000000000003</c:v>
                </c:pt>
                <c:pt idx="3110">
                  <c:v>0.66100000000000003</c:v>
                </c:pt>
                <c:pt idx="3111">
                  <c:v>0.66600000000000004</c:v>
                </c:pt>
                <c:pt idx="3112">
                  <c:v>0.628</c:v>
                </c:pt>
                <c:pt idx="3113">
                  <c:v>0.68899999999999995</c:v>
                </c:pt>
                <c:pt idx="3114">
                  <c:v>0.60199999999999998</c:v>
                </c:pt>
                <c:pt idx="3115">
                  <c:v>0.47199999999999998</c:v>
                </c:pt>
                <c:pt idx="3116">
                  <c:v>0.376</c:v>
                </c:pt>
                <c:pt idx="3117">
                  <c:v>0.38100000000000001</c:v>
                </c:pt>
                <c:pt idx="3118">
                  <c:v>0.44700000000000001</c:v>
                </c:pt>
                <c:pt idx="3119">
                  <c:v>0.80700000000000005</c:v>
                </c:pt>
                <c:pt idx="3120">
                  <c:v>0.84</c:v>
                </c:pt>
                <c:pt idx="3121">
                  <c:v>0.79900000000000004</c:v>
                </c:pt>
                <c:pt idx="3122">
                  <c:v>0.747</c:v>
                </c:pt>
                <c:pt idx="3123">
                  <c:v>0.73</c:v>
                </c:pt>
                <c:pt idx="3124">
                  <c:v>0.71799999999999997</c:v>
                </c:pt>
                <c:pt idx="3125">
                  <c:v>0.70599999999999996</c:v>
                </c:pt>
                <c:pt idx="3126">
                  <c:v>0.7</c:v>
                </c:pt>
                <c:pt idx="3127">
                  <c:v>0.71</c:v>
                </c:pt>
                <c:pt idx="3128">
                  <c:v>0.69499999999999995</c:v>
                </c:pt>
                <c:pt idx="3129">
                  <c:v>0.69199999999999995</c:v>
                </c:pt>
                <c:pt idx="3130">
                  <c:v>0.69499999999999995</c:v>
                </c:pt>
                <c:pt idx="3131">
                  <c:v>0.67200000000000004</c:v>
                </c:pt>
                <c:pt idx="3132">
                  <c:v>0.63500000000000001</c:v>
                </c:pt>
                <c:pt idx="3133">
                  <c:v>0.622</c:v>
                </c:pt>
                <c:pt idx="3134">
                  <c:v>0.61199999999999999</c:v>
                </c:pt>
                <c:pt idx="3135">
                  <c:v>0.59</c:v>
                </c:pt>
                <c:pt idx="3136">
                  <c:v>0.90200000000000002</c:v>
                </c:pt>
                <c:pt idx="3137">
                  <c:v>0.58799999999999997</c:v>
                </c:pt>
                <c:pt idx="3138">
                  <c:v>0.57999999999999996</c:v>
                </c:pt>
                <c:pt idx="3139">
                  <c:v>0.58299999999999996</c:v>
                </c:pt>
                <c:pt idx="3140">
                  <c:v>0.55900000000000005</c:v>
                </c:pt>
                <c:pt idx="3141">
                  <c:v>0.55400000000000005</c:v>
                </c:pt>
                <c:pt idx="3142">
                  <c:v>0.54</c:v>
                </c:pt>
                <c:pt idx="3143">
                  <c:v>0.53100000000000003</c:v>
                </c:pt>
                <c:pt idx="3144">
                  <c:v>0.80200000000000005</c:v>
                </c:pt>
                <c:pt idx="3145">
                  <c:v>1.139</c:v>
                </c:pt>
                <c:pt idx="3146">
                  <c:v>1.1459999999999999</c:v>
                </c:pt>
                <c:pt idx="3147">
                  <c:v>1.1399999999999999</c:v>
                </c:pt>
                <c:pt idx="3148">
                  <c:v>1.129</c:v>
                </c:pt>
                <c:pt idx="3149">
                  <c:v>1.131</c:v>
                </c:pt>
                <c:pt idx="3150">
                  <c:v>1.2150000000000001</c:v>
                </c:pt>
                <c:pt idx="3151">
                  <c:v>1.4339999999999999</c:v>
                </c:pt>
                <c:pt idx="3152">
                  <c:v>1.2969999999999999</c:v>
                </c:pt>
                <c:pt idx="3153">
                  <c:v>1.286</c:v>
                </c:pt>
                <c:pt idx="3154">
                  <c:v>1.282</c:v>
                </c:pt>
                <c:pt idx="3155">
                  <c:v>1.42</c:v>
                </c:pt>
                <c:pt idx="3156">
                  <c:v>1.2889999999999999</c:v>
                </c:pt>
                <c:pt idx="3157">
                  <c:v>1.26</c:v>
                </c:pt>
                <c:pt idx="3158">
                  <c:v>1.0449999999999999</c:v>
                </c:pt>
                <c:pt idx="3159">
                  <c:v>0.85399999999999998</c:v>
                </c:pt>
                <c:pt idx="3160">
                  <c:v>0.59</c:v>
                </c:pt>
                <c:pt idx="3161">
                  <c:v>0.59499999999999997</c:v>
                </c:pt>
                <c:pt idx="3162">
                  <c:v>0.92700000000000005</c:v>
                </c:pt>
                <c:pt idx="3163">
                  <c:v>1.0509999999999999</c:v>
                </c:pt>
                <c:pt idx="3164">
                  <c:v>1.0609999999999999</c:v>
                </c:pt>
                <c:pt idx="3165">
                  <c:v>1.1100000000000001</c:v>
                </c:pt>
                <c:pt idx="3166">
                  <c:v>1.129</c:v>
                </c:pt>
                <c:pt idx="3167">
                  <c:v>1.133</c:v>
                </c:pt>
                <c:pt idx="3168">
                  <c:v>1.1519999999999999</c:v>
                </c:pt>
                <c:pt idx="3169">
                  <c:v>1.161</c:v>
                </c:pt>
                <c:pt idx="3170">
                  <c:v>1.1579999999999999</c:v>
                </c:pt>
                <c:pt idx="3171">
                  <c:v>1.1599999999999999</c:v>
                </c:pt>
                <c:pt idx="3172">
                  <c:v>1.1379999999999999</c:v>
                </c:pt>
                <c:pt idx="3173">
                  <c:v>1.125</c:v>
                </c:pt>
                <c:pt idx="3174">
                  <c:v>1.075</c:v>
                </c:pt>
                <c:pt idx="3175">
                  <c:v>0.92100000000000004</c:v>
                </c:pt>
                <c:pt idx="3176">
                  <c:v>0.84699999999999998</c:v>
                </c:pt>
                <c:pt idx="3177">
                  <c:v>0.95299999999999996</c:v>
                </c:pt>
                <c:pt idx="3178">
                  <c:v>0.84899999999999998</c:v>
                </c:pt>
                <c:pt idx="3179">
                  <c:v>0.876</c:v>
                </c:pt>
                <c:pt idx="3180">
                  <c:v>0.88600000000000001</c:v>
                </c:pt>
                <c:pt idx="3181">
                  <c:v>0.88</c:v>
                </c:pt>
                <c:pt idx="3182">
                  <c:v>0.89800000000000002</c:v>
                </c:pt>
                <c:pt idx="3183">
                  <c:v>1.0649999999999999</c:v>
                </c:pt>
                <c:pt idx="3184">
                  <c:v>1.296</c:v>
                </c:pt>
                <c:pt idx="3185">
                  <c:v>1.5489999999999999</c:v>
                </c:pt>
                <c:pt idx="3186">
                  <c:v>1.4039999999999999</c:v>
                </c:pt>
                <c:pt idx="3187">
                  <c:v>1.1850000000000001</c:v>
                </c:pt>
                <c:pt idx="3188">
                  <c:v>1.2689999999999999</c:v>
                </c:pt>
                <c:pt idx="3189">
                  <c:v>1.3029999999999999</c:v>
                </c:pt>
                <c:pt idx="3190">
                  <c:v>1.3380000000000001</c:v>
                </c:pt>
                <c:pt idx="3191">
                  <c:v>1.3360000000000001</c:v>
                </c:pt>
                <c:pt idx="3192">
                  <c:v>1.3069999999999999</c:v>
                </c:pt>
                <c:pt idx="3193">
                  <c:v>1.091</c:v>
                </c:pt>
                <c:pt idx="3194">
                  <c:v>0.94599999999999995</c:v>
                </c:pt>
                <c:pt idx="3195">
                  <c:v>0.85799999999999998</c:v>
                </c:pt>
                <c:pt idx="3196">
                  <c:v>0.84599999999999997</c:v>
                </c:pt>
                <c:pt idx="3197">
                  <c:v>0.83899999999999997</c:v>
                </c:pt>
                <c:pt idx="3198">
                  <c:v>0.99299999999999999</c:v>
                </c:pt>
                <c:pt idx="3199">
                  <c:v>1.7150000000000001</c:v>
                </c:pt>
                <c:pt idx="3200">
                  <c:v>0.90900000000000003</c:v>
                </c:pt>
                <c:pt idx="3201">
                  <c:v>0.81499999999999995</c:v>
                </c:pt>
                <c:pt idx="3202">
                  <c:v>0.70699999999999996</c:v>
                </c:pt>
                <c:pt idx="3203">
                  <c:v>0.59799999999999998</c:v>
                </c:pt>
                <c:pt idx="3204">
                  <c:v>0.59599999999999997</c:v>
                </c:pt>
                <c:pt idx="3205">
                  <c:v>0.59199999999999997</c:v>
                </c:pt>
                <c:pt idx="3206">
                  <c:v>0.6</c:v>
                </c:pt>
                <c:pt idx="3207">
                  <c:v>1.016</c:v>
                </c:pt>
                <c:pt idx="3208">
                  <c:v>1.476</c:v>
                </c:pt>
                <c:pt idx="3209">
                  <c:v>1.4610000000000001</c:v>
                </c:pt>
                <c:pt idx="3210">
                  <c:v>1.484</c:v>
                </c:pt>
                <c:pt idx="3211">
                  <c:v>1.4890000000000001</c:v>
                </c:pt>
                <c:pt idx="3212">
                  <c:v>1.4670000000000001</c:v>
                </c:pt>
                <c:pt idx="3213">
                  <c:v>1.2</c:v>
                </c:pt>
                <c:pt idx="3214">
                  <c:v>1.0780000000000001</c:v>
                </c:pt>
                <c:pt idx="3215">
                  <c:v>0.97</c:v>
                </c:pt>
                <c:pt idx="3216">
                  <c:v>0.97499999999999998</c:v>
                </c:pt>
                <c:pt idx="3217">
                  <c:v>0.99099999999999999</c:v>
                </c:pt>
                <c:pt idx="3218">
                  <c:v>0.95299999999999996</c:v>
                </c:pt>
                <c:pt idx="3219">
                  <c:v>0.89900000000000002</c:v>
                </c:pt>
                <c:pt idx="3220">
                  <c:v>0.97199999999999998</c:v>
                </c:pt>
                <c:pt idx="3221">
                  <c:v>0.91200000000000003</c:v>
                </c:pt>
                <c:pt idx="3222">
                  <c:v>0.94099999999999995</c:v>
                </c:pt>
                <c:pt idx="3223">
                  <c:v>0.85799999999999998</c:v>
                </c:pt>
                <c:pt idx="3224">
                  <c:v>0.85099999999999998</c:v>
                </c:pt>
                <c:pt idx="3225">
                  <c:v>0.84599999999999997</c:v>
                </c:pt>
                <c:pt idx="3226">
                  <c:v>0.86</c:v>
                </c:pt>
                <c:pt idx="3227">
                  <c:v>1.2110000000000001</c:v>
                </c:pt>
                <c:pt idx="3228">
                  <c:v>1.006</c:v>
                </c:pt>
                <c:pt idx="3229">
                  <c:v>0.90300000000000002</c:v>
                </c:pt>
                <c:pt idx="3230">
                  <c:v>0.88</c:v>
                </c:pt>
                <c:pt idx="3231">
                  <c:v>0.874</c:v>
                </c:pt>
                <c:pt idx="3232">
                  <c:v>0.88500000000000001</c:v>
                </c:pt>
                <c:pt idx="3233">
                  <c:v>0.876</c:v>
                </c:pt>
                <c:pt idx="3234">
                  <c:v>0.88300000000000001</c:v>
                </c:pt>
                <c:pt idx="3235">
                  <c:v>0.89</c:v>
                </c:pt>
                <c:pt idx="3236">
                  <c:v>0.90800000000000003</c:v>
                </c:pt>
                <c:pt idx="3237">
                  <c:v>0.9</c:v>
                </c:pt>
                <c:pt idx="3238">
                  <c:v>0.89600000000000002</c:v>
                </c:pt>
                <c:pt idx="3239">
                  <c:v>0.89</c:v>
                </c:pt>
                <c:pt idx="3240">
                  <c:v>0.874</c:v>
                </c:pt>
                <c:pt idx="3241">
                  <c:v>0.86899999999999999</c:v>
                </c:pt>
                <c:pt idx="3242">
                  <c:v>0.86499999999999999</c:v>
                </c:pt>
                <c:pt idx="3243">
                  <c:v>0.95499999999999996</c:v>
                </c:pt>
                <c:pt idx="3244">
                  <c:v>0.88400000000000001</c:v>
                </c:pt>
                <c:pt idx="3245">
                  <c:v>0.86799999999999999</c:v>
                </c:pt>
                <c:pt idx="3246">
                  <c:v>0.873</c:v>
                </c:pt>
                <c:pt idx="3247">
                  <c:v>0.871</c:v>
                </c:pt>
                <c:pt idx="3248">
                  <c:v>0.87</c:v>
                </c:pt>
                <c:pt idx="3249">
                  <c:v>0.86299999999999999</c:v>
                </c:pt>
                <c:pt idx="3250">
                  <c:v>0.85</c:v>
                </c:pt>
                <c:pt idx="3251">
                  <c:v>0.85699999999999998</c:v>
                </c:pt>
                <c:pt idx="3252">
                  <c:v>1.214</c:v>
                </c:pt>
                <c:pt idx="3253">
                  <c:v>0.93</c:v>
                </c:pt>
                <c:pt idx="3254">
                  <c:v>0.95199999999999996</c:v>
                </c:pt>
                <c:pt idx="3255">
                  <c:v>1.1120000000000001</c:v>
                </c:pt>
                <c:pt idx="3256">
                  <c:v>1.0409999999999999</c:v>
                </c:pt>
                <c:pt idx="3257">
                  <c:v>1.0609999999999999</c:v>
                </c:pt>
                <c:pt idx="3258">
                  <c:v>1.0609999999999999</c:v>
                </c:pt>
                <c:pt idx="3259">
                  <c:v>1.04</c:v>
                </c:pt>
                <c:pt idx="3260">
                  <c:v>1.0549999999999999</c:v>
                </c:pt>
                <c:pt idx="3261">
                  <c:v>1.0580000000000001</c:v>
                </c:pt>
                <c:pt idx="3262">
                  <c:v>1.071</c:v>
                </c:pt>
                <c:pt idx="3263">
                  <c:v>1.069</c:v>
                </c:pt>
                <c:pt idx="3264">
                  <c:v>1.0569999999999999</c:v>
                </c:pt>
                <c:pt idx="3265">
                  <c:v>1.4630000000000001</c:v>
                </c:pt>
                <c:pt idx="3266">
                  <c:v>1.071</c:v>
                </c:pt>
                <c:pt idx="3267">
                  <c:v>0.997</c:v>
                </c:pt>
                <c:pt idx="3268">
                  <c:v>0.97</c:v>
                </c:pt>
                <c:pt idx="3269">
                  <c:v>0.94699999999999995</c:v>
                </c:pt>
                <c:pt idx="3270">
                  <c:v>0.91900000000000004</c:v>
                </c:pt>
                <c:pt idx="3271">
                  <c:v>0.89200000000000002</c:v>
                </c:pt>
                <c:pt idx="3272">
                  <c:v>1.22</c:v>
                </c:pt>
                <c:pt idx="3273">
                  <c:v>0.98599999999999999</c:v>
                </c:pt>
                <c:pt idx="3274">
                  <c:v>0.95799999999999996</c:v>
                </c:pt>
                <c:pt idx="3275">
                  <c:v>0.93</c:v>
                </c:pt>
                <c:pt idx="3276">
                  <c:v>0.92800000000000005</c:v>
                </c:pt>
                <c:pt idx="3277">
                  <c:v>0.92400000000000004</c:v>
                </c:pt>
                <c:pt idx="3278">
                  <c:v>0.94899999999999995</c:v>
                </c:pt>
                <c:pt idx="3279">
                  <c:v>0.93200000000000005</c:v>
                </c:pt>
                <c:pt idx="3280">
                  <c:v>0.93700000000000006</c:v>
                </c:pt>
                <c:pt idx="3281">
                  <c:v>0.93400000000000005</c:v>
                </c:pt>
                <c:pt idx="3282">
                  <c:v>0.93200000000000005</c:v>
                </c:pt>
                <c:pt idx="3283">
                  <c:v>0.94599999999999995</c:v>
                </c:pt>
                <c:pt idx="3284">
                  <c:v>0.92300000000000004</c:v>
                </c:pt>
                <c:pt idx="3285">
                  <c:v>0.91900000000000004</c:v>
                </c:pt>
                <c:pt idx="3286">
                  <c:v>0.93700000000000006</c:v>
                </c:pt>
                <c:pt idx="3287">
                  <c:v>0.872</c:v>
                </c:pt>
                <c:pt idx="3288">
                  <c:v>0.89900000000000002</c:v>
                </c:pt>
                <c:pt idx="3289">
                  <c:v>0.90900000000000003</c:v>
                </c:pt>
                <c:pt idx="3290">
                  <c:v>0.89200000000000002</c:v>
                </c:pt>
                <c:pt idx="3291">
                  <c:v>0.88500000000000001</c:v>
                </c:pt>
                <c:pt idx="3292">
                  <c:v>1.2190000000000001</c:v>
                </c:pt>
                <c:pt idx="3293">
                  <c:v>0.76900000000000002</c:v>
                </c:pt>
                <c:pt idx="3294">
                  <c:v>0.73599999999999999</c:v>
                </c:pt>
                <c:pt idx="3295">
                  <c:v>0.73299999999999998</c:v>
                </c:pt>
                <c:pt idx="3296">
                  <c:v>0.73799999999999999</c:v>
                </c:pt>
                <c:pt idx="3297">
                  <c:v>0.73299999999999998</c:v>
                </c:pt>
                <c:pt idx="3298">
                  <c:v>0.72799999999999998</c:v>
                </c:pt>
                <c:pt idx="3299">
                  <c:v>0.70899999999999996</c:v>
                </c:pt>
                <c:pt idx="3300">
                  <c:v>0.72199999999999998</c:v>
                </c:pt>
                <c:pt idx="3301">
                  <c:v>0.70499999999999996</c:v>
                </c:pt>
                <c:pt idx="3302">
                  <c:v>0.72399999999999998</c:v>
                </c:pt>
                <c:pt idx="3303">
                  <c:v>0.72199999999999998</c:v>
                </c:pt>
                <c:pt idx="3304">
                  <c:v>0.71899999999999997</c:v>
                </c:pt>
                <c:pt idx="3305">
                  <c:v>0.73</c:v>
                </c:pt>
                <c:pt idx="3306">
                  <c:v>0.71299999999999997</c:v>
                </c:pt>
                <c:pt idx="3307">
                  <c:v>0.71799999999999997</c:v>
                </c:pt>
                <c:pt idx="3308">
                  <c:v>0.80500000000000005</c:v>
                </c:pt>
                <c:pt idx="3309">
                  <c:v>0.73599999999999999</c:v>
                </c:pt>
                <c:pt idx="3310">
                  <c:v>0.72499999999999998</c:v>
                </c:pt>
                <c:pt idx="3311">
                  <c:v>0.73299999999999998</c:v>
                </c:pt>
                <c:pt idx="3312">
                  <c:v>0.755</c:v>
                </c:pt>
                <c:pt idx="3313">
                  <c:v>0.747</c:v>
                </c:pt>
                <c:pt idx="3314">
                  <c:v>0.72699999999999998</c:v>
                </c:pt>
                <c:pt idx="3315">
                  <c:v>0.73499999999999999</c:v>
                </c:pt>
                <c:pt idx="3316">
                  <c:v>0.69599999999999995</c:v>
                </c:pt>
                <c:pt idx="3317">
                  <c:v>1.018</c:v>
                </c:pt>
                <c:pt idx="3318">
                  <c:v>0.57899999999999996</c:v>
                </c:pt>
                <c:pt idx="3319">
                  <c:v>0.57099999999999995</c:v>
                </c:pt>
                <c:pt idx="3320">
                  <c:v>0.56899999999999995</c:v>
                </c:pt>
                <c:pt idx="3321">
                  <c:v>0.58299999999999996</c:v>
                </c:pt>
                <c:pt idx="3322">
                  <c:v>0.60499999999999998</c:v>
                </c:pt>
                <c:pt idx="3323">
                  <c:v>0.61099999999999999</c:v>
                </c:pt>
                <c:pt idx="3324">
                  <c:v>0.50900000000000001</c:v>
                </c:pt>
                <c:pt idx="3325">
                  <c:v>0.42199999999999999</c:v>
                </c:pt>
                <c:pt idx="3326">
                  <c:v>0.41699999999999998</c:v>
                </c:pt>
                <c:pt idx="3327">
                  <c:v>0.40200000000000002</c:v>
                </c:pt>
                <c:pt idx="3328">
                  <c:v>0.39900000000000002</c:v>
                </c:pt>
                <c:pt idx="3329">
                  <c:v>0.629</c:v>
                </c:pt>
                <c:pt idx="3330">
                  <c:v>0.39</c:v>
                </c:pt>
                <c:pt idx="3331">
                  <c:v>0.39600000000000002</c:v>
                </c:pt>
                <c:pt idx="3332">
                  <c:v>0.39500000000000002</c:v>
                </c:pt>
                <c:pt idx="3333">
                  <c:v>0.36899999999999999</c:v>
                </c:pt>
                <c:pt idx="3334">
                  <c:v>0.35699999999999998</c:v>
                </c:pt>
                <c:pt idx="3335">
                  <c:v>0.372</c:v>
                </c:pt>
                <c:pt idx="3336">
                  <c:v>0.371</c:v>
                </c:pt>
                <c:pt idx="3337">
                  <c:v>0.375</c:v>
                </c:pt>
                <c:pt idx="3338">
                  <c:v>0.378</c:v>
                </c:pt>
                <c:pt idx="3339">
                  <c:v>0.38500000000000001</c:v>
                </c:pt>
                <c:pt idx="3340">
                  <c:v>0.38600000000000001</c:v>
                </c:pt>
                <c:pt idx="3341">
                  <c:v>0.379</c:v>
                </c:pt>
                <c:pt idx="3342">
                  <c:v>0.39100000000000001</c:v>
                </c:pt>
                <c:pt idx="3343">
                  <c:v>0.374</c:v>
                </c:pt>
                <c:pt idx="3344">
                  <c:v>0.39400000000000002</c:v>
                </c:pt>
                <c:pt idx="3345">
                  <c:v>0.371</c:v>
                </c:pt>
                <c:pt idx="3346">
                  <c:v>0.378</c:v>
                </c:pt>
                <c:pt idx="3347">
                  <c:v>0.379</c:v>
                </c:pt>
                <c:pt idx="3348">
                  <c:v>0.377</c:v>
                </c:pt>
                <c:pt idx="3349">
                  <c:v>0.379</c:v>
                </c:pt>
                <c:pt idx="3350">
                  <c:v>0.38500000000000001</c:v>
                </c:pt>
                <c:pt idx="3351">
                  <c:v>0.38</c:v>
                </c:pt>
                <c:pt idx="3352">
                  <c:v>0.36299999999999999</c:v>
                </c:pt>
                <c:pt idx="3353">
                  <c:v>0.36599999999999999</c:v>
                </c:pt>
                <c:pt idx="3354">
                  <c:v>0.377</c:v>
                </c:pt>
                <c:pt idx="3355">
                  <c:v>0.36599999999999999</c:v>
                </c:pt>
                <c:pt idx="3356">
                  <c:v>0.36699999999999999</c:v>
                </c:pt>
                <c:pt idx="3357">
                  <c:v>0.36199999999999999</c:v>
                </c:pt>
                <c:pt idx="3358">
                  <c:v>0.36699999999999999</c:v>
                </c:pt>
                <c:pt idx="3359">
                  <c:v>0.36199999999999999</c:v>
                </c:pt>
                <c:pt idx="3360">
                  <c:v>0.36399999999999999</c:v>
                </c:pt>
                <c:pt idx="3361">
                  <c:v>0.371</c:v>
                </c:pt>
                <c:pt idx="3362">
                  <c:v>0.371</c:v>
                </c:pt>
                <c:pt idx="3363">
                  <c:v>0.371</c:v>
                </c:pt>
                <c:pt idx="3364">
                  <c:v>0.36399999999999999</c:v>
                </c:pt>
                <c:pt idx="3365">
                  <c:v>0.36</c:v>
                </c:pt>
                <c:pt idx="3366">
                  <c:v>0.36199999999999999</c:v>
                </c:pt>
                <c:pt idx="3367">
                  <c:v>0.35899999999999999</c:v>
                </c:pt>
                <c:pt idx="3368">
                  <c:v>0.36399999999999999</c:v>
                </c:pt>
                <c:pt idx="3369">
                  <c:v>0.36799999999999999</c:v>
                </c:pt>
                <c:pt idx="3370">
                  <c:v>0.36</c:v>
                </c:pt>
                <c:pt idx="3371">
                  <c:v>0.36</c:v>
                </c:pt>
                <c:pt idx="3372">
                  <c:v>0.374</c:v>
                </c:pt>
                <c:pt idx="3373">
                  <c:v>0.37</c:v>
                </c:pt>
                <c:pt idx="3374">
                  <c:v>0.36</c:v>
                </c:pt>
                <c:pt idx="3375">
                  <c:v>0.35099999999999998</c:v>
                </c:pt>
                <c:pt idx="3376">
                  <c:v>0.34200000000000003</c:v>
                </c:pt>
                <c:pt idx="3377">
                  <c:v>0.35499999999999998</c:v>
                </c:pt>
                <c:pt idx="3378">
                  <c:v>0.35899999999999999</c:v>
                </c:pt>
                <c:pt idx="3379">
                  <c:v>0.36199999999999999</c:v>
                </c:pt>
                <c:pt idx="3380">
                  <c:v>0.35499999999999998</c:v>
                </c:pt>
                <c:pt idx="3381">
                  <c:v>0.35499999999999998</c:v>
                </c:pt>
                <c:pt idx="3382">
                  <c:v>0.36299999999999999</c:v>
                </c:pt>
                <c:pt idx="3383">
                  <c:v>0.35599999999999998</c:v>
                </c:pt>
                <c:pt idx="3384">
                  <c:v>0.36099999999999999</c:v>
                </c:pt>
                <c:pt idx="3385">
                  <c:v>0.35899999999999999</c:v>
                </c:pt>
                <c:pt idx="3386">
                  <c:v>0.35</c:v>
                </c:pt>
                <c:pt idx="3387">
                  <c:v>0.34799999999999998</c:v>
                </c:pt>
                <c:pt idx="3388">
                  <c:v>0.35199999999999998</c:v>
                </c:pt>
                <c:pt idx="3389">
                  <c:v>0.35899999999999999</c:v>
                </c:pt>
                <c:pt idx="3390">
                  <c:v>0.34899999999999998</c:v>
                </c:pt>
                <c:pt idx="3391">
                  <c:v>0.35299999999999998</c:v>
                </c:pt>
                <c:pt idx="3392">
                  <c:v>0.35199999999999998</c:v>
                </c:pt>
                <c:pt idx="3393">
                  <c:v>0.34899999999999998</c:v>
                </c:pt>
                <c:pt idx="3394">
                  <c:v>0.38800000000000001</c:v>
                </c:pt>
                <c:pt idx="3395">
                  <c:v>0.34699999999999998</c:v>
                </c:pt>
                <c:pt idx="3396">
                  <c:v>0.34300000000000003</c:v>
                </c:pt>
                <c:pt idx="3397">
                  <c:v>0.35299999999999998</c:v>
                </c:pt>
                <c:pt idx="3398">
                  <c:v>0.35199999999999998</c:v>
                </c:pt>
                <c:pt idx="3399">
                  <c:v>0.34699999999999998</c:v>
                </c:pt>
                <c:pt idx="3400">
                  <c:v>0.35</c:v>
                </c:pt>
                <c:pt idx="3401">
                  <c:v>0.34100000000000003</c:v>
                </c:pt>
                <c:pt idx="3402">
                  <c:v>0.34599999999999997</c:v>
                </c:pt>
                <c:pt idx="3403">
                  <c:v>0.34599999999999997</c:v>
                </c:pt>
                <c:pt idx="3404">
                  <c:v>0.34899999999999998</c:v>
                </c:pt>
                <c:pt idx="3405">
                  <c:v>0.34599999999999997</c:v>
                </c:pt>
                <c:pt idx="3406">
                  <c:v>0.34699999999999998</c:v>
                </c:pt>
                <c:pt idx="3407">
                  <c:v>0.34399999999999997</c:v>
                </c:pt>
                <c:pt idx="3408">
                  <c:v>0.33800000000000002</c:v>
                </c:pt>
                <c:pt idx="3409">
                  <c:v>0.33800000000000002</c:v>
                </c:pt>
                <c:pt idx="3410">
                  <c:v>0.33700000000000002</c:v>
                </c:pt>
                <c:pt idx="3411">
                  <c:v>0.34300000000000003</c:v>
                </c:pt>
                <c:pt idx="3412">
                  <c:v>0.34599999999999997</c:v>
                </c:pt>
                <c:pt idx="3413">
                  <c:v>0.34399999999999997</c:v>
                </c:pt>
                <c:pt idx="3414">
                  <c:v>0.34300000000000003</c:v>
                </c:pt>
                <c:pt idx="3415">
                  <c:v>0.34300000000000003</c:v>
                </c:pt>
                <c:pt idx="3416">
                  <c:v>0.34300000000000003</c:v>
                </c:pt>
                <c:pt idx="3417">
                  <c:v>0.34799999999999998</c:v>
                </c:pt>
                <c:pt idx="3418">
                  <c:v>0.34599999999999997</c:v>
                </c:pt>
                <c:pt idx="3419">
                  <c:v>0.34399999999999997</c:v>
                </c:pt>
                <c:pt idx="3420">
                  <c:v>0.34799999999999998</c:v>
                </c:pt>
                <c:pt idx="3421">
                  <c:v>0.34100000000000003</c:v>
                </c:pt>
                <c:pt idx="3422">
                  <c:v>0.34599999999999997</c:v>
                </c:pt>
                <c:pt idx="3423">
                  <c:v>0.34</c:v>
                </c:pt>
                <c:pt idx="3424">
                  <c:v>0.33</c:v>
                </c:pt>
                <c:pt idx="3425">
                  <c:v>0.32</c:v>
                </c:pt>
                <c:pt idx="3426">
                  <c:v>0.33700000000000002</c:v>
                </c:pt>
                <c:pt idx="3427">
                  <c:v>0.33700000000000002</c:v>
                </c:pt>
                <c:pt idx="3428">
                  <c:v>0.33600000000000002</c:v>
                </c:pt>
                <c:pt idx="3429">
                  <c:v>0.33500000000000002</c:v>
                </c:pt>
                <c:pt idx="3430">
                  <c:v>0.33500000000000002</c:v>
                </c:pt>
                <c:pt idx="3431">
                  <c:v>0.32300000000000001</c:v>
                </c:pt>
                <c:pt idx="3432">
                  <c:v>0.32200000000000001</c:v>
                </c:pt>
                <c:pt idx="3433">
                  <c:v>0.33500000000000002</c:v>
                </c:pt>
                <c:pt idx="3434">
                  <c:v>0.33300000000000002</c:v>
                </c:pt>
                <c:pt idx="3435">
                  <c:v>0.32900000000000001</c:v>
                </c:pt>
                <c:pt idx="3436">
                  <c:v>0.33700000000000002</c:v>
                </c:pt>
                <c:pt idx="3437">
                  <c:v>0.33200000000000002</c:v>
                </c:pt>
                <c:pt idx="3438">
                  <c:v>0.33500000000000002</c:v>
                </c:pt>
                <c:pt idx="3439">
                  <c:v>0.31</c:v>
                </c:pt>
                <c:pt idx="3440">
                  <c:v>0.312</c:v>
                </c:pt>
                <c:pt idx="3441">
                  <c:v>0.33100000000000002</c:v>
                </c:pt>
                <c:pt idx="3442">
                  <c:v>0.33600000000000002</c:v>
                </c:pt>
                <c:pt idx="3443">
                  <c:v>0.33600000000000002</c:v>
                </c:pt>
                <c:pt idx="3444">
                  <c:v>0.33500000000000002</c:v>
                </c:pt>
                <c:pt idx="3445">
                  <c:v>0.33100000000000002</c:v>
                </c:pt>
                <c:pt idx="3446">
                  <c:v>0.32900000000000001</c:v>
                </c:pt>
                <c:pt idx="3447">
                  <c:v>0.33400000000000002</c:v>
                </c:pt>
                <c:pt idx="3448">
                  <c:v>0.33300000000000002</c:v>
                </c:pt>
                <c:pt idx="3449">
                  <c:v>0.32600000000000001</c:v>
                </c:pt>
                <c:pt idx="3450">
                  <c:v>0.32900000000000001</c:v>
                </c:pt>
                <c:pt idx="3451">
                  <c:v>0.32500000000000001</c:v>
                </c:pt>
                <c:pt idx="3452">
                  <c:v>0.32800000000000001</c:v>
                </c:pt>
                <c:pt idx="3453">
                  <c:v>0.33</c:v>
                </c:pt>
                <c:pt idx="3454">
                  <c:v>0.33100000000000002</c:v>
                </c:pt>
                <c:pt idx="3455">
                  <c:v>0.33100000000000002</c:v>
                </c:pt>
                <c:pt idx="3456">
                  <c:v>0.38200000000000001</c:v>
                </c:pt>
                <c:pt idx="3457">
                  <c:v>0.32900000000000001</c:v>
                </c:pt>
                <c:pt idx="3458">
                  <c:v>0.33200000000000002</c:v>
                </c:pt>
                <c:pt idx="3459">
                  <c:v>0.33200000000000002</c:v>
                </c:pt>
                <c:pt idx="3460">
                  <c:v>0.33100000000000002</c:v>
                </c:pt>
                <c:pt idx="3461">
                  <c:v>0.32900000000000001</c:v>
                </c:pt>
                <c:pt idx="3462">
                  <c:v>0.32500000000000001</c:v>
                </c:pt>
                <c:pt idx="3463">
                  <c:v>0.32300000000000001</c:v>
                </c:pt>
                <c:pt idx="3464">
                  <c:v>0.13100000000000001</c:v>
                </c:pt>
                <c:pt idx="3465">
                  <c:v>0.128</c:v>
                </c:pt>
                <c:pt idx="3466">
                  <c:v>0.11700000000000001</c:v>
                </c:pt>
                <c:pt idx="3467">
                  <c:v>0.114</c:v>
                </c:pt>
                <c:pt idx="3468">
                  <c:v>0.11899999999999999</c:v>
                </c:pt>
                <c:pt idx="3469">
                  <c:v>0.11899999999999999</c:v>
                </c:pt>
                <c:pt idx="3470">
                  <c:v>0.12</c:v>
                </c:pt>
                <c:pt idx="3471">
                  <c:v>0.115</c:v>
                </c:pt>
                <c:pt idx="3472">
                  <c:v>0.11600000000000001</c:v>
                </c:pt>
                <c:pt idx="3473">
                  <c:v>0.113</c:v>
                </c:pt>
                <c:pt idx="3474">
                  <c:v>0.114</c:v>
                </c:pt>
                <c:pt idx="3475">
                  <c:v>0.112</c:v>
                </c:pt>
                <c:pt idx="3476">
                  <c:v>0.111</c:v>
                </c:pt>
                <c:pt idx="3477">
                  <c:v>0.112</c:v>
                </c:pt>
                <c:pt idx="3478">
                  <c:v>0.111</c:v>
                </c:pt>
                <c:pt idx="3479">
                  <c:v>0.112</c:v>
                </c:pt>
                <c:pt idx="3480">
                  <c:v>0.109</c:v>
                </c:pt>
                <c:pt idx="3481">
                  <c:v>0.111</c:v>
                </c:pt>
                <c:pt idx="3482">
                  <c:v>0.109</c:v>
                </c:pt>
                <c:pt idx="3483">
                  <c:v>0.111</c:v>
                </c:pt>
                <c:pt idx="3484">
                  <c:v>0.11600000000000001</c:v>
                </c:pt>
                <c:pt idx="3485">
                  <c:v>0.123</c:v>
                </c:pt>
                <c:pt idx="3486">
                  <c:v>0.115</c:v>
                </c:pt>
                <c:pt idx="3487">
                  <c:v>0.112</c:v>
                </c:pt>
                <c:pt idx="3488">
                  <c:v>0.11</c:v>
                </c:pt>
                <c:pt idx="3489">
                  <c:v>0.112</c:v>
                </c:pt>
                <c:pt idx="3490">
                  <c:v>0.111</c:v>
                </c:pt>
                <c:pt idx="3491">
                  <c:v>0.112</c:v>
                </c:pt>
                <c:pt idx="3492">
                  <c:v>0.109</c:v>
                </c:pt>
                <c:pt idx="3493">
                  <c:v>0.10299999999999999</c:v>
                </c:pt>
                <c:pt idx="3494">
                  <c:v>0.10299999999999999</c:v>
                </c:pt>
                <c:pt idx="3495">
                  <c:v>0.108</c:v>
                </c:pt>
                <c:pt idx="3496">
                  <c:v>0.107</c:v>
                </c:pt>
                <c:pt idx="3497">
                  <c:v>0.11</c:v>
                </c:pt>
                <c:pt idx="3498">
                  <c:v>0.111</c:v>
                </c:pt>
                <c:pt idx="3499">
                  <c:v>0.10199999999999999</c:v>
                </c:pt>
                <c:pt idx="3500">
                  <c:v>0.106</c:v>
                </c:pt>
                <c:pt idx="3501">
                  <c:v>0.11</c:v>
                </c:pt>
                <c:pt idx="3502">
                  <c:v>0.108</c:v>
                </c:pt>
                <c:pt idx="3503">
                  <c:v>0.10199999999999999</c:v>
                </c:pt>
                <c:pt idx="3504">
                  <c:v>0.107</c:v>
                </c:pt>
                <c:pt idx="3505">
                  <c:v>0.108</c:v>
                </c:pt>
                <c:pt idx="3506">
                  <c:v>0.105</c:v>
                </c:pt>
                <c:pt idx="3507">
                  <c:v>0.10100000000000001</c:v>
                </c:pt>
                <c:pt idx="3508">
                  <c:v>0.1</c:v>
                </c:pt>
                <c:pt idx="3509">
                  <c:v>0.10100000000000001</c:v>
                </c:pt>
                <c:pt idx="3510">
                  <c:v>0.10299999999999999</c:v>
                </c:pt>
                <c:pt idx="3511">
                  <c:v>9.5000000000000001E-2</c:v>
                </c:pt>
                <c:pt idx="3512">
                  <c:v>8.8999999999999996E-2</c:v>
                </c:pt>
                <c:pt idx="3513">
                  <c:v>0.1</c:v>
                </c:pt>
                <c:pt idx="3514">
                  <c:v>0.09</c:v>
                </c:pt>
                <c:pt idx="3515">
                  <c:v>9.7000000000000003E-2</c:v>
                </c:pt>
                <c:pt idx="3516">
                  <c:v>9.5000000000000001E-2</c:v>
                </c:pt>
                <c:pt idx="3517">
                  <c:v>9.5000000000000001E-2</c:v>
                </c:pt>
                <c:pt idx="3518">
                  <c:v>9.1999999999999998E-2</c:v>
                </c:pt>
                <c:pt idx="3519">
                  <c:v>9.6000000000000002E-2</c:v>
                </c:pt>
                <c:pt idx="3520">
                  <c:v>9.5000000000000001E-2</c:v>
                </c:pt>
                <c:pt idx="3521">
                  <c:v>0.107</c:v>
                </c:pt>
                <c:pt idx="3522">
                  <c:v>9.5000000000000001E-2</c:v>
                </c:pt>
                <c:pt idx="3523">
                  <c:v>8.6999999999999994E-2</c:v>
                </c:pt>
                <c:pt idx="3524">
                  <c:v>8.5000000000000006E-2</c:v>
                </c:pt>
                <c:pt idx="3525">
                  <c:v>9.5000000000000001E-2</c:v>
                </c:pt>
                <c:pt idx="3526">
                  <c:v>9.2999999999999999E-2</c:v>
                </c:pt>
                <c:pt idx="3527">
                  <c:v>9.4E-2</c:v>
                </c:pt>
                <c:pt idx="3528">
                  <c:v>9.0999999999999998E-2</c:v>
                </c:pt>
                <c:pt idx="3529">
                  <c:v>9.1999999999999998E-2</c:v>
                </c:pt>
                <c:pt idx="3530">
                  <c:v>9.5000000000000001E-2</c:v>
                </c:pt>
                <c:pt idx="3531">
                  <c:v>9.1999999999999998E-2</c:v>
                </c:pt>
                <c:pt idx="3532">
                  <c:v>9.6000000000000002E-2</c:v>
                </c:pt>
                <c:pt idx="3533">
                  <c:v>9.0999999999999998E-2</c:v>
                </c:pt>
                <c:pt idx="3534">
                  <c:v>9.2999999999999999E-2</c:v>
                </c:pt>
                <c:pt idx="3535">
                  <c:v>9.2999999999999999E-2</c:v>
                </c:pt>
                <c:pt idx="3536">
                  <c:v>9.5000000000000001E-2</c:v>
                </c:pt>
                <c:pt idx="3537">
                  <c:v>9.1999999999999998E-2</c:v>
                </c:pt>
                <c:pt idx="3538">
                  <c:v>8.7999999999999995E-2</c:v>
                </c:pt>
                <c:pt idx="3539">
                  <c:v>8.8999999999999996E-2</c:v>
                </c:pt>
                <c:pt idx="3540">
                  <c:v>8.8999999999999996E-2</c:v>
                </c:pt>
                <c:pt idx="3541">
                  <c:v>8.5999999999999993E-2</c:v>
                </c:pt>
                <c:pt idx="3542">
                  <c:v>8.8999999999999996E-2</c:v>
                </c:pt>
                <c:pt idx="3543">
                  <c:v>8.7999999999999995E-2</c:v>
                </c:pt>
                <c:pt idx="3544">
                  <c:v>7.8E-2</c:v>
                </c:pt>
                <c:pt idx="3545">
                  <c:v>7.9000000000000001E-2</c:v>
                </c:pt>
                <c:pt idx="3546">
                  <c:v>0.09</c:v>
                </c:pt>
                <c:pt idx="3547">
                  <c:v>8.8999999999999996E-2</c:v>
                </c:pt>
                <c:pt idx="3548">
                  <c:v>0.09</c:v>
                </c:pt>
                <c:pt idx="3549">
                  <c:v>0.09</c:v>
                </c:pt>
                <c:pt idx="3550">
                  <c:v>8.6999999999999994E-2</c:v>
                </c:pt>
                <c:pt idx="3551">
                  <c:v>7.1999999999999995E-2</c:v>
                </c:pt>
                <c:pt idx="3552">
                  <c:v>8.2000000000000003E-2</c:v>
                </c:pt>
                <c:pt idx="3553">
                  <c:v>0.08</c:v>
                </c:pt>
                <c:pt idx="3554">
                  <c:v>7.6999999999999999E-2</c:v>
                </c:pt>
                <c:pt idx="3555">
                  <c:v>7.8E-2</c:v>
                </c:pt>
                <c:pt idx="3556">
                  <c:v>7.9000000000000001E-2</c:v>
                </c:pt>
                <c:pt idx="3557">
                  <c:v>7.6999999999999999E-2</c:v>
                </c:pt>
                <c:pt idx="3558">
                  <c:v>7.3999999999999996E-2</c:v>
                </c:pt>
                <c:pt idx="3559">
                  <c:v>7.1999999999999995E-2</c:v>
                </c:pt>
                <c:pt idx="3560">
                  <c:v>7.0999999999999994E-2</c:v>
                </c:pt>
                <c:pt idx="3561">
                  <c:v>7.3999999999999996E-2</c:v>
                </c:pt>
                <c:pt idx="3562">
                  <c:v>7.1999999999999995E-2</c:v>
                </c:pt>
                <c:pt idx="3563">
                  <c:v>7.1999999999999995E-2</c:v>
                </c:pt>
                <c:pt idx="3564">
                  <c:v>7.2999999999999995E-2</c:v>
                </c:pt>
                <c:pt idx="3565">
                  <c:v>7.1999999999999995E-2</c:v>
                </c:pt>
                <c:pt idx="3566">
                  <c:v>7.6999999999999999E-2</c:v>
                </c:pt>
                <c:pt idx="3567">
                  <c:v>7.6999999999999999E-2</c:v>
                </c:pt>
                <c:pt idx="3568">
                  <c:v>7.2999999999999995E-2</c:v>
                </c:pt>
                <c:pt idx="3569">
                  <c:v>6.9000000000000006E-2</c:v>
                </c:pt>
                <c:pt idx="3570">
                  <c:v>7.1999999999999995E-2</c:v>
                </c:pt>
                <c:pt idx="3571">
                  <c:v>7.1999999999999995E-2</c:v>
                </c:pt>
                <c:pt idx="3572">
                  <c:v>6.9000000000000006E-2</c:v>
                </c:pt>
                <c:pt idx="3573">
                  <c:v>6.7000000000000004E-2</c:v>
                </c:pt>
                <c:pt idx="3574">
                  <c:v>6.6000000000000003E-2</c:v>
                </c:pt>
                <c:pt idx="3575">
                  <c:v>7.0999999999999994E-2</c:v>
                </c:pt>
                <c:pt idx="3576">
                  <c:v>7.3999999999999996E-2</c:v>
                </c:pt>
                <c:pt idx="3577">
                  <c:v>7.0999999999999994E-2</c:v>
                </c:pt>
                <c:pt idx="3578">
                  <c:v>7.1999999999999995E-2</c:v>
                </c:pt>
                <c:pt idx="3579">
                  <c:v>7.0000000000000007E-2</c:v>
                </c:pt>
                <c:pt idx="3580">
                  <c:v>6.9000000000000006E-2</c:v>
                </c:pt>
                <c:pt idx="3581">
                  <c:v>0.06</c:v>
                </c:pt>
                <c:pt idx="3582">
                  <c:v>6.0999999999999999E-2</c:v>
                </c:pt>
                <c:pt idx="3583">
                  <c:v>7.1999999999999995E-2</c:v>
                </c:pt>
                <c:pt idx="3584">
                  <c:v>7.9000000000000001E-2</c:v>
                </c:pt>
                <c:pt idx="3585">
                  <c:v>0.13100000000000001</c:v>
                </c:pt>
                <c:pt idx="3586">
                  <c:v>6.2E-2</c:v>
                </c:pt>
                <c:pt idx="3587">
                  <c:v>6.6000000000000003E-2</c:v>
                </c:pt>
                <c:pt idx="3588">
                  <c:v>6.8000000000000005E-2</c:v>
                </c:pt>
                <c:pt idx="3589">
                  <c:v>6.6000000000000003E-2</c:v>
                </c:pt>
                <c:pt idx="3590">
                  <c:v>6.7000000000000004E-2</c:v>
                </c:pt>
                <c:pt idx="3591">
                  <c:v>6.9000000000000006E-2</c:v>
                </c:pt>
                <c:pt idx="3592">
                  <c:v>6.9000000000000006E-2</c:v>
                </c:pt>
                <c:pt idx="3593">
                  <c:v>6.7000000000000004E-2</c:v>
                </c:pt>
                <c:pt idx="3594">
                  <c:v>6.5000000000000002E-2</c:v>
                </c:pt>
                <c:pt idx="3595">
                  <c:v>6.4000000000000001E-2</c:v>
                </c:pt>
                <c:pt idx="3596">
                  <c:v>6.7000000000000004E-2</c:v>
                </c:pt>
                <c:pt idx="3597">
                  <c:v>6.8000000000000005E-2</c:v>
                </c:pt>
                <c:pt idx="3598">
                  <c:v>6.8000000000000005E-2</c:v>
                </c:pt>
                <c:pt idx="3599">
                  <c:v>6.8000000000000005E-2</c:v>
                </c:pt>
                <c:pt idx="3600">
                  <c:v>6.9000000000000006E-2</c:v>
                </c:pt>
                <c:pt idx="3601">
                  <c:v>6.8000000000000005E-2</c:v>
                </c:pt>
                <c:pt idx="3602">
                  <c:v>6.8000000000000005E-2</c:v>
                </c:pt>
                <c:pt idx="3603">
                  <c:v>7.0999999999999994E-2</c:v>
                </c:pt>
                <c:pt idx="3604">
                  <c:v>7.2999999999999995E-2</c:v>
                </c:pt>
                <c:pt idx="3605">
                  <c:v>7.3999999999999996E-2</c:v>
                </c:pt>
                <c:pt idx="3606">
                  <c:v>8.1000000000000003E-2</c:v>
                </c:pt>
                <c:pt idx="3607">
                  <c:v>0.08</c:v>
                </c:pt>
                <c:pt idx="3608">
                  <c:v>8.1000000000000003E-2</c:v>
                </c:pt>
                <c:pt idx="3609">
                  <c:v>7.9000000000000001E-2</c:v>
                </c:pt>
                <c:pt idx="3610">
                  <c:v>7.3999999999999996E-2</c:v>
                </c:pt>
                <c:pt idx="3611">
                  <c:v>6.7000000000000004E-2</c:v>
                </c:pt>
                <c:pt idx="3612">
                  <c:v>6.8000000000000005E-2</c:v>
                </c:pt>
                <c:pt idx="3613">
                  <c:v>6.8000000000000005E-2</c:v>
                </c:pt>
                <c:pt idx="3614">
                  <c:v>7.1999999999999995E-2</c:v>
                </c:pt>
                <c:pt idx="3615">
                  <c:v>7.2999999999999995E-2</c:v>
                </c:pt>
                <c:pt idx="3616">
                  <c:v>6.4000000000000001E-2</c:v>
                </c:pt>
                <c:pt idx="3617">
                  <c:v>6.6000000000000003E-2</c:v>
                </c:pt>
                <c:pt idx="3618">
                  <c:v>0.06</c:v>
                </c:pt>
                <c:pt idx="3619">
                  <c:v>5.8000000000000003E-2</c:v>
                </c:pt>
                <c:pt idx="3620">
                  <c:v>6.2E-2</c:v>
                </c:pt>
                <c:pt idx="3621">
                  <c:v>6.9000000000000006E-2</c:v>
                </c:pt>
                <c:pt idx="3622">
                  <c:v>7.0000000000000007E-2</c:v>
                </c:pt>
                <c:pt idx="3623">
                  <c:v>7.0999999999999994E-2</c:v>
                </c:pt>
                <c:pt idx="3624">
                  <c:v>6.4000000000000001E-2</c:v>
                </c:pt>
                <c:pt idx="3625">
                  <c:v>6.5000000000000002E-2</c:v>
                </c:pt>
                <c:pt idx="3626">
                  <c:v>5.6000000000000001E-2</c:v>
                </c:pt>
                <c:pt idx="3627">
                  <c:v>6.6000000000000003E-2</c:v>
                </c:pt>
                <c:pt idx="3628">
                  <c:v>5.8999999999999997E-2</c:v>
                </c:pt>
                <c:pt idx="3629">
                  <c:v>0.06</c:v>
                </c:pt>
                <c:pt idx="3630">
                  <c:v>6.0999999999999999E-2</c:v>
                </c:pt>
                <c:pt idx="3631">
                  <c:v>7.0000000000000007E-2</c:v>
                </c:pt>
                <c:pt idx="3632">
                  <c:v>6.3E-2</c:v>
                </c:pt>
                <c:pt idx="3633">
                  <c:v>0.06</c:v>
                </c:pt>
                <c:pt idx="3634">
                  <c:v>6.4000000000000001E-2</c:v>
                </c:pt>
                <c:pt idx="3635">
                  <c:v>6.8000000000000005E-2</c:v>
                </c:pt>
                <c:pt idx="3636">
                  <c:v>6.8000000000000005E-2</c:v>
                </c:pt>
                <c:pt idx="3637">
                  <c:v>6.8000000000000005E-2</c:v>
                </c:pt>
                <c:pt idx="3638">
                  <c:v>7.0000000000000007E-2</c:v>
                </c:pt>
                <c:pt idx="3639">
                  <c:v>6.9000000000000006E-2</c:v>
                </c:pt>
                <c:pt idx="3640">
                  <c:v>6.4000000000000001E-2</c:v>
                </c:pt>
                <c:pt idx="3641">
                  <c:v>6.5000000000000002E-2</c:v>
                </c:pt>
                <c:pt idx="3642">
                  <c:v>6.2E-2</c:v>
                </c:pt>
                <c:pt idx="3643">
                  <c:v>6.0999999999999999E-2</c:v>
                </c:pt>
                <c:pt idx="3644">
                  <c:v>6.4000000000000001E-2</c:v>
                </c:pt>
                <c:pt idx="3645">
                  <c:v>6.4000000000000001E-2</c:v>
                </c:pt>
                <c:pt idx="3646">
                  <c:v>6.7000000000000004E-2</c:v>
                </c:pt>
                <c:pt idx="3647">
                  <c:v>0.112</c:v>
                </c:pt>
                <c:pt idx="3648">
                  <c:v>7.0000000000000007E-2</c:v>
                </c:pt>
                <c:pt idx="3649">
                  <c:v>7.1999999999999995E-2</c:v>
                </c:pt>
                <c:pt idx="3650">
                  <c:v>7.3999999999999996E-2</c:v>
                </c:pt>
                <c:pt idx="3651">
                  <c:v>7.4999999999999997E-2</c:v>
                </c:pt>
                <c:pt idx="3652">
                  <c:v>8.2000000000000003E-2</c:v>
                </c:pt>
                <c:pt idx="3653">
                  <c:v>7.8E-2</c:v>
                </c:pt>
                <c:pt idx="3654">
                  <c:v>8.2000000000000003E-2</c:v>
                </c:pt>
                <c:pt idx="3655">
                  <c:v>8.5999999999999993E-2</c:v>
                </c:pt>
                <c:pt idx="3656">
                  <c:v>8.2000000000000003E-2</c:v>
                </c:pt>
                <c:pt idx="3657">
                  <c:v>8.3000000000000004E-2</c:v>
                </c:pt>
                <c:pt idx="3658">
                  <c:v>0.08</c:v>
                </c:pt>
                <c:pt idx="3659">
                  <c:v>7.8E-2</c:v>
                </c:pt>
                <c:pt idx="3660">
                  <c:v>0.08</c:v>
                </c:pt>
                <c:pt idx="3661">
                  <c:v>8.3000000000000004E-2</c:v>
                </c:pt>
                <c:pt idx="3662">
                  <c:v>8.2000000000000003E-2</c:v>
                </c:pt>
                <c:pt idx="3663">
                  <c:v>7.9000000000000001E-2</c:v>
                </c:pt>
                <c:pt idx="3664">
                  <c:v>8.3000000000000004E-2</c:v>
                </c:pt>
                <c:pt idx="3665">
                  <c:v>8.3000000000000004E-2</c:v>
                </c:pt>
                <c:pt idx="3666">
                  <c:v>8.2000000000000003E-2</c:v>
                </c:pt>
                <c:pt idx="3667">
                  <c:v>8.5000000000000006E-2</c:v>
                </c:pt>
                <c:pt idx="3668">
                  <c:v>0.10199999999999999</c:v>
                </c:pt>
                <c:pt idx="3669">
                  <c:v>7.8E-2</c:v>
                </c:pt>
                <c:pt idx="3670">
                  <c:v>7.6999999999999999E-2</c:v>
                </c:pt>
                <c:pt idx="3671">
                  <c:v>8.3000000000000004E-2</c:v>
                </c:pt>
                <c:pt idx="3672">
                  <c:v>7.4999999999999997E-2</c:v>
                </c:pt>
                <c:pt idx="3673">
                  <c:v>6.4000000000000001E-2</c:v>
                </c:pt>
                <c:pt idx="3674">
                  <c:v>7.1999999999999995E-2</c:v>
                </c:pt>
                <c:pt idx="3675">
                  <c:v>7.3999999999999996E-2</c:v>
                </c:pt>
                <c:pt idx="3676">
                  <c:v>8.5999999999999993E-2</c:v>
                </c:pt>
                <c:pt idx="3677">
                  <c:v>8.1000000000000003E-2</c:v>
                </c:pt>
                <c:pt idx="3678">
                  <c:v>7.8E-2</c:v>
                </c:pt>
                <c:pt idx="3679">
                  <c:v>8.2000000000000003E-2</c:v>
                </c:pt>
                <c:pt idx="3680">
                  <c:v>6.6000000000000003E-2</c:v>
                </c:pt>
                <c:pt idx="3681">
                  <c:v>6.9000000000000006E-2</c:v>
                </c:pt>
                <c:pt idx="3682">
                  <c:v>7.5999999999999998E-2</c:v>
                </c:pt>
                <c:pt idx="3683">
                  <c:v>8.3000000000000004E-2</c:v>
                </c:pt>
                <c:pt idx="3684">
                  <c:v>7.8E-2</c:v>
                </c:pt>
                <c:pt idx="3685">
                  <c:v>8.1000000000000003E-2</c:v>
                </c:pt>
                <c:pt idx="3686">
                  <c:v>8.2000000000000003E-2</c:v>
                </c:pt>
                <c:pt idx="3687">
                  <c:v>8.4000000000000005E-2</c:v>
                </c:pt>
                <c:pt idx="3688">
                  <c:v>7.5999999999999998E-2</c:v>
                </c:pt>
                <c:pt idx="3689">
                  <c:v>7.2999999999999995E-2</c:v>
                </c:pt>
                <c:pt idx="3690">
                  <c:v>0.114</c:v>
                </c:pt>
                <c:pt idx="3691">
                  <c:v>7.8E-2</c:v>
                </c:pt>
                <c:pt idx="3692">
                  <c:v>7.8E-2</c:v>
                </c:pt>
                <c:pt idx="3693">
                  <c:v>8.1000000000000003E-2</c:v>
                </c:pt>
                <c:pt idx="3694">
                  <c:v>8.3000000000000004E-2</c:v>
                </c:pt>
                <c:pt idx="3695">
                  <c:v>7.8E-2</c:v>
                </c:pt>
                <c:pt idx="3696">
                  <c:v>8.2000000000000003E-2</c:v>
                </c:pt>
                <c:pt idx="3697">
                  <c:v>7.4999999999999997E-2</c:v>
                </c:pt>
                <c:pt idx="3698">
                  <c:v>7.6999999999999999E-2</c:v>
                </c:pt>
                <c:pt idx="3699">
                  <c:v>7.3999999999999996E-2</c:v>
                </c:pt>
                <c:pt idx="3700">
                  <c:v>7.4999999999999997E-2</c:v>
                </c:pt>
                <c:pt idx="3701">
                  <c:v>0.08</c:v>
                </c:pt>
                <c:pt idx="3702">
                  <c:v>7.2999999999999995E-2</c:v>
                </c:pt>
                <c:pt idx="3703">
                  <c:v>8.2000000000000003E-2</c:v>
                </c:pt>
                <c:pt idx="3704">
                  <c:v>8.2000000000000003E-2</c:v>
                </c:pt>
                <c:pt idx="3705">
                  <c:v>8.4000000000000005E-2</c:v>
                </c:pt>
                <c:pt idx="3706">
                  <c:v>8.4000000000000005E-2</c:v>
                </c:pt>
                <c:pt idx="3707">
                  <c:v>7.9000000000000001E-2</c:v>
                </c:pt>
                <c:pt idx="3708">
                  <c:v>8.4000000000000005E-2</c:v>
                </c:pt>
                <c:pt idx="3709">
                  <c:v>8.5999999999999993E-2</c:v>
                </c:pt>
                <c:pt idx="3710">
                  <c:v>0.20799999999999999</c:v>
                </c:pt>
                <c:pt idx="3711">
                  <c:v>8.5000000000000006E-2</c:v>
                </c:pt>
                <c:pt idx="3712">
                  <c:v>8.2000000000000003E-2</c:v>
                </c:pt>
                <c:pt idx="3713">
                  <c:v>8.2000000000000003E-2</c:v>
                </c:pt>
                <c:pt idx="3714">
                  <c:v>8.6999999999999994E-2</c:v>
                </c:pt>
                <c:pt idx="3715">
                  <c:v>8.6999999999999994E-2</c:v>
                </c:pt>
                <c:pt idx="3716">
                  <c:v>8.4000000000000005E-2</c:v>
                </c:pt>
                <c:pt idx="3717">
                  <c:v>8.3000000000000004E-2</c:v>
                </c:pt>
                <c:pt idx="3718">
                  <c:v>8.7999999999999995E-2</c:v>
                </c:pt>
                <c:pt idx="3719">
                  <c:v>0.09</c:v>
                </c:pt>
                <c:pt idx="3720">
                  <c:v>8.6999999999999994E-2</c:v>
                </c:pt>
                <c:pt idx="3721">
                  <c:v>8.5999999999999993E-2</c:v>
                </c:pt>
                <c:pt idx="3722">
                  <c:v>8.3000000000000004E-2</c:v>
                </c:pt>
                <c:pt idx="3723">
                  <c:v>0.09</c:v>
                </c:pt>
                <c:pt idx="3724">
                  <c:v>9.0999999999999998E-2</c:v>
                </c:pt>
                <c:pt idx="3725">
                  <c:v>9.8000000000000004E-2</c:v>
                </c:pt>
                <c:pt idx="3726">
                  <c:v>0.10100000000000001</c:v>
                </c:pt>
                <c:pt idx="3727">
                  <c:v>0.105</c:v>
                </c:pt>
                <c:pt idx="3728">
                  <c:v>0.104</c:v>
                </c:pt>
                <c:pt idx="3729">
                  <c:v>9.8000000000000004E-2</c:v>
                </c:pt>
                <c:pt idx="3730">
                  <c:v>9.7000000000000003E-2</c:v>
                </c:pt>
                <c:pt idx="3731">
                  <c:v>9.1999999999999998E-2</c:v>
                </c:pt>
                <c:pt idx="3732">
                  <c:v>9.9000000000000005E-2</c:v>
                </c:pt>
                <c:pt idx="3733">
                  <c:v>0.14299999999999999</c:v>
                </c:pt>
                <c:pt idx="3734">
                  <c:v>9.2999999999999999E-2</c:v>
                </c:pt>
                <c:pt idx="3735">
                  <c:v>8.4000000000000005E-2</c:v>
                </c:pt>
                <c:pt idx="3736">
                  <c:v>8.3000000000000004E-2</c:v>
                </c:pt>
                <c:pt idx="3737">
                  <c:v>7.8E-2</c:v>
                </c:pt>
                <c:pt idx="3738">
                  <c:v>9.9000000000000005E-2</c:v>
                </c:pt>
                <c:pt idx="3739">
                  <c:v>8.4000000000000005E-2</c:v>
                </c:pt>
                <c:pt idx="3740">
                  <c:v>8.2000000000000003E-2</c:v>
                </c:pt>
                <c:pt idx="3741">
                  <c:v>7.9000000000000001E-2</c:v>
                </c:pt>
                <c:pt idx="3742">
                  <c:v>7.6999999999999999E-2</c:v>
                </c:pt>
                <c:pt idx="3743">
                  <c:v>0.08</c:v>
                </c:pt>
                <c:pt idx="3744">
                  <c:v>7.6999999999999999E-2</c:v>
                </c:pt>
                <c:pt idx="3745">
                  <c:v>7.8E-2</c:v>
                </c:pt>
                <c:pt idx="3746">
                  <c:v>7.9000000000000001E-2</c:v>
                </c:pt>
                <c:pt idx="3747">
                  <c:v>7.8E-2</c:v>
                </c:pt>
                <c:pt idx="3748">
                  <c:v>7.8E-2</c:v>
                </c:pt>
                <c:pt idx="3749">
                  <c:v>7.9000000000000001E-2</c:v>
                </c:pt>
                <c:pt idx="3750">
                  <c:v>7.6999999999999999E-2</c:v>
                </c:pt>
                <c:pt idx="3751">
                  <c:v>7.8E-2</c:v>
                </c:pt>
                <c:pt idx="3752">
                  <c:v>0.08</c:v>
                </c:pt>
                <c:pt idx="3753">
                  <c:v>7.8E-2</c:v>
                </c:pt>
                <c:pt idx="3754">
                  <c:v>7.5999999999999998E-2</c:v>
                </c:pt>
                <c:pt idx="3755">
                  <c:v>0.107</c:v>
                </c:pt>
                <c:pt idx="3756">
                  <c:v>7.9000000000000001E-2</c:v>
                </c:pt>
                <c:pt idx="3757">
                  <c:v>0.08</c:v>
                </c:pt>
                <c:pt idx="3758">
                  <c:v>7.2999999999999995E-2</c:v>
                </c:pt>
                <c:pt idx="3759">
                  <c:v>6.9000000000000006E-2</c:v>
                </c:pt>
                <c:pt idx="3760">
                  <c:v>7.4999999999999997E-2</c:v>
                </c:pt>
                <c:pt idx="3761">
                  <c:v>6.8000000000000005E-2</c:v>
                </c:pt>
                <c:pt idx="3762">
                  <c:v>7.0999999999999994E-2</c:v>
                </c:pt>
                <c:pt idx="3763">
                  <c:v>7.2999999999999995E-2</c:v>
                </c:pt>
                <c:pt idx="3764">
                  <c:v>6.8000000000000005E-2</c:v>
                </c:pt>
                <c:pt idx="3765">
                  <c:v>7.1999999999999995E-2</c:v>
                </c:pt>
                <c:pt idx="3766">
                  <c:v>7.2999999999999995E-2</c:v>
                </c:pt>
                <c:pt idx="3767">
                  <c:v>7.4999999999999997E-2</c:v>
                </c:pt>
                <c:pt idx="3768">
                  <c:v>7.8E-2</c:v>
                </c:pt>
                <c:pt idx="3769">
                  <c:v>7.4999999999999997E-2</c:v>
                </c:pt>
                <c:pt idx="3770">
                  <c:v>7.8E-2</c:v>
                </c:pt>
                <c:pt idx="3771">
                  <c:v>0.08</c:v>
                </c:pt>
                <c:pt idx="3772">
                  <c:v>7.6999999999999999E-2</c:v>
                </c:pt>
                <c:pt idx="3773">
                  <c:v>7.6999999999999999E-2</c:v>
                </c:pt>
                <c:pt idx="3774">
                  <c:v>8.2000000000000003E-2</c:v>
                </c:pt>
                <c:pt idx="3775">
                  <c:v>8.5000000000000006E-2</c:v>
                </c:pt>
                <c:pt idx="3776">
                  <c:v>0.17899999999999999</c:v>
                </c:pt>
                <c:pt idx="3777">
                  <c:v>0.08</c:v>
                </c:pt>
                <c:pt idx="3778">
                  <c:v>7.9000000000000001E-2</c:v>
                </c:pt>
                <c:pt idx="3779">
                  <c:v>7.9000000000000001E-2</c:v>
                </c:pt>
                <c:pt idx="3780">
                  <c:v>8.4000000000000005E-2</c:v>
                </c:pt>
                <c:pt idx="3781">
                  <c:v>8.2000000000000003E-2</c:v>
                </c:pt>
                <c:pt idx="3782">
                  <c:v>8.4000000000000005E-2</c:v>
                </c:pt>
                <c:pt idx="3783">
                  <c:v>8.1000000000000003E-2</c:v>
                </c:pt>
                <c:pt idx="3784">
                  <c:v>0.08</c:v>
                </c:pt>
                <c:pt idx="3785">
                  <c:v>8.5000000000000006E-2</c:v>
                </c:pt>
                <c:pt idx="3786">
                  <c:v>7.8E-2</c:v>
                </c:pt>
                <c:pt idx="3787">
                  <c:v>7.8E-2</c:v>
                </c:pt>
                <c:pt idx="3788">
                  <c:v>8.2000000000000003E-2</c:v>
                </c:pt>
                <c:pt idx="3789">
                  <c:v>8.7999999999999995E-2</c:v>
                </c:pt>
                <c:pt idx="3790">
                  <c:v>9.2999999999999999E-2</c:v>
                </c:pt>
                <c:pt idx="3791">
                  <c:v>9.0999999999999998E-2</c:v>
                </c:pt>
                <c:pt idx="3792">
                  <c:v>9.2999999999999999E-2</c:v>
                </c:pt>
                <c:pt idx="3793">
                  <c:v>9.4E-2</c:v>
                </c:pt>
                <c:pt idx="3794">
                  <c:v>9.6000000000000002E-2</c:v>
                </c:pt>
                <c:pt idx="3795">
                  <c:v>9.6000000000000002E-2</c:v>
                </c:pt>
                <c:pt idx="3796">
                  <c:v>9.5000000000000001E-2</c:v>
                </c:pt>
                <c:pt idx="3797">
                  <c:v>9.8000000000000004E-2</c:v>
                </c:pt>
                <c:pt idx="3798">
                  <c:v>0.10299999999999999</c:v>
                </c:pt>
                <c:pt idx="3799">
                  <c:v>0.22800000000000001</c:v>
                </c:pt>
                <c:pt idx="3800">
                  <c:v>9.1999999999999998E-2</c:v>
                </c:pt>
                <c:pt idx="3801">
                  <c:v>9.1999999999999998E-2</c:v>
                </c:pt>
                <c:pt idx="3802">
                  <c:v>8.8999999999999996E-2</c:v>
                </c:pt>
                <c:pt idx="3803">
                  <c:v>8.5999999999999993E-2</c:v>
                </c:pt>
                <c:pt idx="3804">
                  <c:v>7.8E-2</c:v>
                </c:pt>
                <c:pt idx="3805">
                  <c:v>7.6999999999999999E-2</c:v>
                </c:pt>
                <c:pt idx="3806">
                  <c:v>7.5999999999999998E-2</c:v>
                </c:pt>
                <c:pt idx="3807">
                  <c:v>7.3999999999999996E-2</c:v>
                </c:pt>
                <c:pt idx="3808">
                  <c:v>7.0000000000000007E-2</c:v>
                </c:pt>
                <c:pt idx="3809">
                  <c:v>7.5999999999999998E-2</c:v>
                </c:pt>
                <c:pt idx="3810">
                  <c:v>7.9000000000000001E-2</c:v>
                </c:pt>
                <c:pt idx="3811">
                  <c:v>8.4000000000000005E-2</c:v>
                </c:pt>
                <c:pt idx="3812">
                  <c:v>8.5999999999999993E-2</c:v>
                </c:pt>
                <c:pt idx="3813">
                  <c:v>9.0999999999999998E-2</c:v>
                </c:pt>
                <c:pt idx="3814">
                  <c:v>0.108</c:v>
                </c:pt>
                <c:pt idx="3815">
                  <c:v>0.11700000000000001</c:v>
                </c:pt>
                <c:pt idx="3816">
                  <c:v>0.13200000000000001</c:v>
                </c:pt>
                <c:pt idx="3817">
                  <c:v>0.13100000000000001</c:v>
                </c:pt>
                <c:pt idx="3818">
                  <c:v>0.123</c:v>
                </c:pt>
                <c:pt idx="3819">
                  <c:v>0.127</c:v>
                </c:pt>
                <c:pt idx="3820">
                  <c:v>0.27700000000000002</c:v>
                </c:pt>
                <c:pt idx="3821">
                  <c:v>0.112</c:v>
                </c:pt>
                <c:pt idx="3822">
                  <c:v>0.11700000000000001</c:v>
                </c:pt>
                <c:pt idx="3823">
                  <c:v>0.126</c:v>
                </c:pt>
                <c:pt idx="3824">
                  <c:v>0.127</c:v>
                </c:pt>
                <c:pt idx="3825">
                  <c:v>0.127</c:v>
                </c:pt>
                <c:pt idx="3826">
                  <c:v>0.125</c:v>
                </c:pt>
                <c:pt idx="3827">
                  <c:v>0.13100000000000001</c:v>
                </c:pt>
                <c:pt idx="3828">
                  <c:v>0.14399999999999999</c:v>
                </c:pt>
                <c:pt idx="3829">
                  <c:v>0.13900000000000001</c:v>
                </c:pt>
                <c:pt idx="3830">
                  <c:v>0.15</c:v>
                </c:pt>
                <c:pt idx="3831">
                  <c:v>0.183</c:v>
                </c:pt>
                <c:pt idx="3832">
                  <c:v>0.20599999999999999</c:v>
                </c:pt>
                <c:pt idx="3833">
                  <c:v>0.17599999999999999</c:v>
                </c:pt>
                <c:pt idx="3834">
                  <c:v>0.159</c:v>
                </c:pt>
                <c:pt idx="3835">
                  <c:v>0.161</c:v>
                </c:pt>
                <c:pt idx="3836">
                  <c:v>0.158</c:v>
                </c:pt>
                <c:pt idx="3837">
                  <c:v>0.17100000000000001</c:v>
                </c:pt>
                <c:pt idx="3838">
                  <c:v>0.192</c:v>
                </c:pt>
                <c:pt idx="3839">
                  <c:v>0.223</c:v>
                </c:pt>
                <c:pt idx="3840">
                  <c:v>0.44600000000000001</c:v>
                </c:pt>
                <c:pt idx="3841">
                  <c:v>0.152</c:v>
                </c:pt>
                <c:pt idx="3842">
                  <c:v>0.111</c:v>
                </c:pt>
                <c:pt idx="3843">
                  <c:v>9.6000000000000002E-2</c:v>
                </c:pt>
                <c:pt idx="3844">
                  <c:v>9.9000000000000005E-2</c:v>
                </c:pt>
                <c:pt idx="3845">
                  <c:v>0.13700000000000001</c:v>
                </c:pt>
                <c:pt idx="3846">
                  <c:v>0.156</c:v>
                </c:pt>
                <c:pt idx="3847">
                  <c:v>0.154</c:v>
                </c:pt>
                <c:pt idx="3848">
                  <c:v>0.153</c:v>
                </c:pt>
                <c:pt idx="3849">
                  <c:v>0.14699999999999999</c:v>
                </c:pt>
                <c:pt idx="3850">
                  <c:v>0.21</c:v>
                </c:pt>
                <c:pt idx="3851">
                  <c:v>0.3</c:v>
                </c:pt>
                <c:pt idx="3852">
                  <c:v>0.34300000000000003</c:v>
                </c:pt>
                <c:pt idx="3853">
                  <c:v>0.35899999999999999</c:v>
                </c:pt>
                <c:pt idx="3854">
                  <c:v>0.35099999999999998</c:v>
                </c:pt>
                <c:pt idx="3855">
                  <c:v>0.23799999999999999</c:v>
                </c:pt>
                <c:pt idx="3856">
                  <c:v>0.21</c:v>
                </c:pt>
                <c:pt idx="3857">
                  <c:v>0.191</c:v>
                </c:pt>
                <c:pt idx="3858">
                  <c:v>0.188</c:v>
                </c:pt>
                <c:pt idx="3859">
                  <c:v>0.17899999999999999</c:v>
                </c:pt>
                <c:pt idx="3860">
                  <c:v>0.157</c:v>
                </c:pt>
                <c:pt idx="3861">
                  <c:v>0.155</c:v>
                </c:pt>
                <c:pt idx="3862">
                  <c:v>0.22800000000000001</c:v>
                </c:pt>
                <c:pt idx="3863">
                  <c:v>0.14000000000000001</c:v>
                </c:pt>
                <c:pt idx="3864">
                  <c:v>0.13300000000000001</c:v>
                </c:pt>
                <c:pt idx="3865">
                  <c:v>0.14499999999999999</c:v>
                </c:pt>
                <c:pt idx="3866">
                  <c:v>0.13200000000000001</c:v>
                </c:pt>
                <c:pt idx="3867">
                  <c:v>0.13100000000000001</c:v>
                </c:pt>
                <c:pt idx="3868">
                  <c:v>0.127</c:v>
                </c:pt>
                <c:pt idx="3869">
                  <c:v>0.122</c:v>
                </c:pt>
                <c:pt idx="3870">
                  <c:v>0.17</c:v>
                </c:pt>
                <c:pt idx="3871">
                  <c:v>0.159</c:v>
                </c:pt>
                <c:pt idx="3872">
                  <c:v>0.14399999999999999</c:v>
                </c:pt>
                <c:pt idx="3873">
                  <c:v>0.15</c:v>
                </c:pt>
                <c:pt idx="3874">
                  <c:v>0.153</c:v>
                </c:pt>
                <c:pt idx="3875">
                  <c:v>0.16400000000000001</c:v>
                </c:pt>
                <c:pt idx="3876">
                  <c:v>0.16900000000000001</c:v>
                </c:pt>
                <c:pt idx="3877">
                  <c:v>0.17100000000000001</c:v>
                </c:pt>
                <c:pt idx="3878">
                  <c:v>0.16900000000000001</c:v>
                </c:pt>
                <c:pt idx="3879">
                  <c:v>0.16600000000000001</c:v>
                </c:pt>
                <c:pt idx="3880">
                  <c:v>0.16800000000000001</c:v>
                </c:pt>
                <c:pt idx="3881">
                  <c:v>0.16200000000000001</c:v>
                </c:pt>
                <c:pt idx="3882">
                  <c:v>0.25900000000000001</c:v>
                </c:pt>
                <c:pt idx="3883">
                  <c:v>0.156</c:v>
                </c:pt>
                <c:pt idx="3884">
                  <c:v>0.157</c:v>
                </c:pt>
                <c:pt idx="3885">
                  <c:v>0.16400000000000001</c:v>
                </c:pt>
                <c:pt idx="3886">
                  <c:v>0.16300000000000001</c:v>
                </c:pt>
                <c:pt idx="3887">
                  <c:v>0.159</c:v>
                </c:pt>
                <c:pt idx="3888">
                  <c:v>0.16700000000000001</c:v>
                </c:pt>
                <c:pt idx="3889">
                  <c:v>0.17100000000000001</c:v>
                </c:pt>
                <c:pt idx="3890">
                  <c:v>0.17199999999999999</c:v>
                </c:pt>
                <c:pt idx="3891">
                  <c:v>0.17</c:v>
                </c:pt>
                <c:pt idx="3892">
                  <c:v>0.158</c:v>
                </c:pt>
                <c:pt idx="3893">
                  <c:v>0.16200000000000001</c:v>
                </c:pt>
                <c:pt idx="3894">
                  <c:v>0.16</c:v>
                </c:pt>
                <c:pt idx="3895">
                  <c:v>0.16800000000000001</c:v>
                </c:pt>
                <c:pt idx="3896">
                  <c:v>0.16300000000000001</c:v>
                </c:pt>
                <c:pt idx="3897">
                  <c:v>0.17</c:v>
                </c:pt>
                <c:pt idx="3898">
                  <c:v>0.16900000000000001</c:v>
                </c:pt>
                <c:pt idx="3899">
                  <c:v>0.17199999999999999</c:v>
                </c:pt>
                <c:pt idx="3900">
                  <c:v>0.17100000000000001</c:v>
                </c:pt>
                <c:pt idx="3901">
                  <c:v>0.17399999999999999</c:v>
                </c:pt>
                <c:pt idx="3902">
                  <c:v>0.19500000000000001</c:v>
                </c:pt>
                <c:pt idx="3903">
                  <c:v>0.68799999999999994</c:v>
                </c:pt>
                <c:pt idx="3904">
                  <c:v>0.19400000000000001</c:v>
                </c:pt>
                <c:pt idx="3905">
                  <c:v>0.21199999999999999</c:v>
                </c:pt>
                <c:pt idx="3906">
                  <c:v>0.218</c:v>
                </c:pt>
                <c:pt idx="3907">
                  <c:v>0.21199999999999999</c:v>
                </c:pt>
                <c:pt idx="3908">
                  <c:v>0.224</c:v>
                </c:pt>
                <c:pt idx="3909">
                  <c:v>0.216</c:v>
                </c:pt>
                <c:pt idx="3910">
                  <c:v>0.20899999999999999</c:v>
                </c:pt>
                <c:pt idx="3911">
                  <c:v>0.20699999999999999</c:v>
                </c:pt>
                <c:pt idx="3912">
                  <c:v>0.20899999999999999</c:v>
                </c:pt>
                <c:pt idx="3913">
                  <c:v>0.20899999999999999</c:v>
                </c:pt>
                <c:pt idx="3914">
                  <c:v>0.20699999999999999</c:v>
                </c:pt>
                <c:pt idx="3915">
                  <c:v>0.20399999999999999</c:v>
                </c:pt>
                <c:pt idx="3916">
                  <c:v>0.221</c:v>
                </c:pt>
                <c:pt idx="3917">
                  <c:v>0.217</c:v>
                </c:pt>
                <c:pt idx="3918">
                  <c:v>0.23799999999999999</c:v>
                </c:pt>
                <c:pt idx="3919">
                  <c:v>0.29399999999999998</c:v>
                </c:pt>
                <c:pt idx="3920">
                  <c:v>0.33100000000000002</c:v>
                </c:pt>
                <c:pt idx="3921">
                  <c:v>0.39800000000000002</c:v>
                </c:pt>
                <c:pt idx="3922">
                  <c:v>0.45700000000000002</c:v>
                </c:pt>
                <c:pt idx="3923">
                  <c:v>0.4</c:v>
                </c:pt>
                <c:pt idx="3924">
                  <c:v>0.159</c:v>
                </c:pt>
                <c:pt idx="3925">
                  <c:v>0.126</c:v>
                </c:pt>
                <c:pt idx="3926">
                  <c:v>0.108</c:v>
                </c:pt>
                <c:pt idx="3927">
                  <c:v>0.26</c:v>
                </c:pt>
                <c:pt idx="3928">
                  <c:v>0.23899999999999999</c:v>
                </c:pt>
                <c:pt idx="3929">
                  <c:v>0.222</c:v>
                </c:pt>
                <c:pt idx="3930">
                  <c:v>0.191</c:v>
                </c:pt>
                <c:pt idx="3931">
                  <c:v>0.184</c:v>
                </c:pt>
                <c:pt idx="3932">
                  <c:v>0.17699999999999999</c:v>
                </c:pt>
                <c:pt idx="3933">
                  <c:v>0.17199999999999999</c:v>
                </c:pt>
                <c:pt idx="3934">
                  <c:v>0.16900000000000001</c:v>
                </c:pt>
                <c:pt idx="3935">
                  <c:v>0.17699999999999999</c:v>
                </c:pt>
                <c:pt idx="3936">
                  <c:v>0.19600000000000001</c:v>
                </c:pt>
                <c:pt idx="3937">
                  <c:v>0.27100000000000002</c:v>
                </c:pt>
                <c:pt idx="3938">
                  <c:v>0.33700000000000002</c:v>
                </c:pt>
                <c:pt idx="3939">
                  <c:v>0.39600000000000002</c:v>
                </c:pt>
                <c:pt idx="3940">
                  <c:v>0.42499999999999999</c:v>
                </c:pt>
                <c:pt idx="3941">
                  <c:v>0.46899999999999997</c:v>
                </c:pt>
                <c:pt idx="3942">
                  <c:v>0.23899999999999999</c:v>
                </c:pt>
                <c:pt idx="3943">
                  <c:v>0.24399999999999999</c:v>
                </c:pt>
                <c:pt idx="3944">
                  <c:v>0.44800000000000001</c:v>
                </c:pt>
                <c:pt idx="3945">
                  <c:v>0.22600000000000001</c:v>
                </c:pt>
                <c:pt idx="3946">
                  <c:v>0.191</c:v>
                </c:pt>
                <c:pt idx="3947">
                  <c:v>0.14199999999999999</c:v>
                </c:pt>
                <c:pt idx="3948">
                  <c:v>0.104</c:v>
                </c:pt>
                <c:pt idx="3949">
                  <c:v>6.7000000000000004E-2</c:v>
                </c:pt>
                <c:pt idx="3950">
                  <c:v>5.2999999999999999E-2</c:v>
                </c:pt>
                <c:pt idx="3951">
                  <c:v>6.5000000000000002E-2</c:v>
                </c:pt>
                <c:pt idx="3952">
                  <c:v>0.06</c:v>
                </c:pt>
                <c:pt idx="3953">
                  <c:v>4.2999999999999997E-2</c:v>
                </c:pt>
                <c:pt idx="3954">
                  <c:v>2.5999999999999999E-2</c:v>
                </c:pt>
                <c:pt idx="3955">
                  <c:v>2.7E-2</c:v>
                </c:pt>
                <c:pt idx="3956">
                  <c:v>0.03</c:v>
                </c:pt>
                <c:pt idx="3957">
                  <c:v>1.4999999999999999E-2</c:v>
                </c:pt>
                <c:pt idx="3958">
                  <c:v>0.01</c:v>
                </c:pt>
                <c:pt idx="3959">
                  <c:v>2.5000000000000001E-2</c:v>
                </c:pt>
                <c:pt idx="3960">
                  <c:v>3.1E-2</c:v>
                </c:pt>
                <c:pt idx="3961">
                  <c:v>3.5999999999999997E-2</c:v>
                </c:pt>
                <c:pt idx="3962">
                  <c:v>4.2999999999999997E-2</c:v>
                </c:pt>
                <c:pt idx="3963">
                  <c:v>3.5999999999999997E-2</c:v>
                </c:pt>
                <c:pt idx="3964">
                  <c:v>2.5000000000000001E-2</c:v>
                </c:pt>
                <c:pt idx="3965">
                  <c:v>0.33600000000000002</c:v>
                </c:pt>
                <c:pt idx="3966">
                  <c:v>2.5999999999999999E-2</c:v>
                </c:pt>
                <c:pt idx="3967">
                  <c:v>2.3E-2</c:v>
                </c:pt>
                <c:pt idx="3968">
                  <c:v>3.2000000000000001E-2</c:v>
                </c:pt>
                <c:pt idx="3969">
                  <c:v>3.2000000000000001E-2</c:v>
                </c:pt>
                <c:pt idx="3970">
                  <c:v>2.9000000000000001E-2</c:v>
                </c:pt>
                <c:pt idx="3971">
                  <c:v>2.7E-2</c:v>
                </c:pt>
                <c:pt idx="3972">
                  <c:v>3.3000000000000002E-2</c:v>
                </c:pt>
                <c:pt idx="3973">
                  <c:v>3.5999999999999997E-2</c:v>
                </c:pt>
                <c:pt idx="3974">
                  <c:v>0.05</c:v>
                </c:pt>
                <c:pt idx="3975">
                  <c:v>5.1999999999999998E-2</c:v>
                </c:pt>
                <c:pt idx="3976">
                  <c:v>3.4000000000000002E-2</c:v>
                </c:pt>
                <c:pt idx="3977">
                  <c:v>3.5999999999999997E-2</c:v>
                </c:pt>
                <c:pt idx="3978">
                  <c:v>3.9E-2</c:v>
                </c:pt>
                <c:pt idx="3979">
                  <c:v>3.6999999999999998E-2</c:v>
                </c:pt>
                <c:pt idx="3980">
                  <c:v>4.8000000000000001E-2</c:v>
                </c:pt>
                <c:pt idx="3981">
                  <c:v>4.1000000000000002E-2</c:v>
                </c:pt>
                <c:pt idx="3982">
                  <c:v>4.7E-2</c:v>
                </c:pt>
                <c:pt idx="3983">
                  <c:v>4.2000000000000003E-2</c:v>
                </c:pt>
                <c:pt idx="3984">
                  <c:v>4.2999999999999997E-2</c:v>
                </c:pt>
                <c:pt idx="3985">
                  <c:v>4.3999999999999997E-2</c:v>
                </c:pt>
                <c:pt idx="3986">
                  <c:v>3.2000000000000001E-2</c:v>
                </c:pt>
                <c:pt idx="3987">
                  <c:v>3.5000000000000003E-2</c:v>
                </c:pt>
                <c:pt idx="3988">
                  <c:v>0.17699999999999999</c:v>
                </c:pt>
                <c:pt idx="3989">
                  <c:v>2.3E-2</c:v>
                </c:pt>
                <c:pt idx="3990">
                  <c:v>2.9000000000000001E-2</c:v>
                </c:pt>
                <c:pt idx="3991">
                  <c:v>3.1E-2</c:v>
                </c:pt>
                <c:pt idx="3992">
                  <c:v>2.1000000000000001E-2</c:v>
                </c:pt>
                <c:pt idx="3993">
                  <c:v>1.4E-2</c:v>
                </c:pt>
                <c:pt idx="3994">
                  <c:v>1.9E-2</c:v>
                </c:pt>
                <c:pt idx="3995">
                  <c:v>0.01</c:v>
                </c:pt>
                <c:pt idx="3996">
                  <c:v>8.9999999999999993E-3</c:v>
                </c:pt>
                <c:pt idx="3997">
                  <c:v>1.9E-2</c:v>
                </c:pt>
                <c:pt idx="3998">
                  <c:v>1.4E-2</c:v>
                </c:pt>
                <c:pt idx="3999">
                  <c:v>7.0000000000000001E-3</c:v>
                </c:pt>
                <c:pt idx="4000">
                  <c:v>6.0000000000000001E-3</c:v>
                </c:pt>
                <c:pt idx="4001">
                  <c:v>5.0000000000000001E-3</c:v>
                </c:pt>
                <c:pt idx="4002">
                  <c:v>1.2999999999999999E-2</c:v>
                </c:pt>
                <c:pt idx="4003">
                  <c:v>1.4E-2</c:v>
                </c:pt>
                <c:pt idx="4004">
                  <c:v>6.0000000000000001E-3</c:v>
                </c:pt>
                <c:pt idx="4005">
                  <c:v>1.9E-2</c:v>
                </c:pt>
                <c:pt idx="4006">
                  <c:v>8.9999999999999993E-3</c:v>
                </c:pt>
                <c:pt idx="4007">
                  <c:v>1.0999999999999999E-2</c:v>
                </c:pt>
                <c:pt idx="4008">
                  <c:v>-4.0000000000000001E-3</c:v>
                </c:pt>
                <c:pt idx="4009">
                  <c:v>0.10100000000000001</c:v>
                </c:pt>
                <c:pt idx="4010">
                  <c:v>-1.2999999999999999E-2</c:v>
                </c:pt>
                <c:pt idx="4011">
                  <c:v>-7.0000000000000001E-3</c:v>
                </c:pt>
                <c:pt idx="4012">
                  <c:v>-6.0000000000000001E-3</c:v>
                </c:pt>
                <c:pt idx="4013">
                  <c:v>3.0000000000000001E-3</c:v>
                </c:pt>
                <c:pt idx="4014">
                  <c:v>0</c:v>
                </c:pt>
                <c:pt idx="4015">
                  <c:v>3.0000000000000001E-3</c:v>
                </c:pt>
                <c:pt idx="4016">
                  <c:v>1.2E-2</c:v>
                </c:pt>
                <c:pt idx="4017">
                  <c:v>-2.4E-2</c:v>
                </c:pt>
                <c:pt idx="4018">
                  <c:v>-1.6E-2</c:v>
                </c:pt>
                <c:pt idx="4019">
                  <c:v>-1.4E-2</c:v>
                </c:pt>
                <c:pt idx="4020">
                  <c:v>-1.0999999999999999E-2</c:v>
                </c:pt>
                <c:pt idx="4021">
                  <c:v>7.0000000000000001E-3</c:v>
                </c:pt>
                <c:pt idx="4022">
                  <c:v>7.0000000000000001E-3</c:v>
                </c:pt>
                <c:pt idx="4023">
                  <c:v>3.0000000000000001E-3</c:v>
                </c:pt>
                <c:pt idx="4024">
                  <c:v>7.0000000000000001E-3</c:v>
                </c:pt>
                <c:pt idx="4025">
                  <c:v>2E-3</c:v>
                </c:pt>
                <c:pt idx="4026">
                  <c:v>1.4999999999999999E-2</c:v>
                </c:pt>
                <c:pt idx="4027">
                  <c:v>2.1999999999999999E-2</c:v>
                </c:pt>
                <c:pt idx="4028">
                  <c:v>-3.0000000000000001E-3</c:v>
                </c:pt>
                <c:pt idx="4029">
                  <c:v>-1.7000000000000001E-2</c:v>
                </c:pt>
                <c:pt idx="4030">
                  <c:v>-2.1999999999999999E-2</c:v>
                </c:pt>
                <c:pt idx="4031">
                  <c:v>0.19700000000000001</c:v>
                </c:pt>
                <c:pt idx="4032">
                  <c:v>-3.2000000000000001E-2</c:v>
                </c:pt>
                <c:pt idx="4033">
                  <c:v>-3.3000000000000002E-2</c:v>
                </c:pt>
                <c:pt idx="4034">
                  <c:v>-4.4999999999999998E-2</c:v>
                </c:pt>
                <c:pt idx="4035">
                  <c:v>-1.4E-2</c:v>
                </c:pt>
                <c:pt idx="4036">
                  <c:v>-3.3000000000000002E-2</c:v>
                </c:pt>
                <c:pt idx="4037">
                  <c:v>-1.4999999999999999E-2</c:v>
                </c:pt>
                <c:pt idx="4038">
                  <c:v>-1.4999999999999999E-2</c:v>
                </c:pt>
                <c:pt idx="4039">
                  <c:v>-6.0000000000000001E-3</c:v>
                </c:pt>
                <c:pt idx="4040">
                  <c:v>-1.7999999999999999E-2</c:v>
                </c:pt>
                <c:pt idx="4041">
                  <c:v>-2.5999999999999999E-2</c:v>
                </c:pt>
                <c:pt idx="4042">
                  <c:v>-1.0999999999999999E-2</c:v>
                </c:pt>
                <c:pt idx="4043">
                  <c:v>-1.2E-2</c:v>
                </c:pt>
                <c:pt idx="4044">
                  <c:v>-1.4E-2</c:v>
                </c:pt>
                <c:pt idx="4045">
                  <c:v>-3.0000000000000001E-3</c:v>
                </c:pt>
                <c:pt idx="4046">
                  <c:v>1.7000000000000001E-2</c:v>
                </c:pt>
                <c:pt idx="4047">
                  <c:v>1.4E-2</c:v>
                </c:pt>
                <c:pt idx="4048">
                  <c:v>1.7999999999999999E-2</c:v>
                </c:pt>
                <c:pt idx="4049">
                  <c:v>1.2999999999999999E-2</c:v>
                </c:pt>
                <c:pt idx="4050">
                  <c:v>0.01</c:v>
                </c:pt>
                <c:pt idx="4051">
                  <c:v>6.0000000000000001E-3</c:v>
                </c:pt>
                <c:pt idx="4052">
                  <c:v>2E-3</c:v>
                </c:pt>
                <c:pt idx="4053">
                  <c:v>8.2000000000000003E-2</c:v>
                </c:pt>
                <c:pt idx="4054">
                  <c:v>-3.5000000000000003E-2</c:v>
                </c:pt>
                <c:pt idx="4055">
                  <c:v>-3.9E-2</c:v>
                </c:pt>
                <c:pt idx="4056">
                  <c:v>-4.2000000000000003E-2</c:v>
                </c:pt>
                <c:pt idx="4057">
                  <c:v>-3.6999999999999998E-2</c:v>
                </c:pt>
                <c:pt idx="4058">
                  <c:v>-3.7999999999999999E-2</c:v>
                </c:pt>
                <c:pt idx="4059">
                  <c:v>-3.2000000000000001E-2</c:v>
                </c:pt>
                <c:pt idx="4060">
                  <c:v>-3.5999999999999997E-2</c:v>
                </c:pt>
                <c:pt idx="4061">
                  <c:v>-2.7E-2</c:v>
                </c:pt>
                <c:pt idx="4062">
                  <c:v>-2.8000000000000001E-2</c:v>
                </c:pt>
                <c:pt idx="4063">
                  <c:v>-2.9000000000000001E-2</c:v>
                </c:pt>
                <c:pt idx="4064">
                  <c:v>-2.7E-2</c:v>
                </c:pt>
                <c:pt idx="4065">
                  <c:v>-2.1999999999999999E-2</c:v>
                </c:pt>
                <c:pt idx="4066">
                  <c:v>-2.3E-2</c:v>
                </c:pt>
                <c:pt idx="4067">
                  <c:v>-1.9E-2</c:v>
                </c:pt>
                <c:pt idx="4068">
                  <c:v>-1.0999999999999999E-2</c:v>
                </c:pt>
                <c:pt idx="4069">
                  <c:v>-6.0000000000000001E-3</c:v>
                </c:pt>
                <c:pt idx="4070">
                  <c:v>1.7000000000000001E-2</c:v>
                </c:pt>
                <c:pt idx="4071">
                  <c:v>4.5999999999999999E-2</c:v>
                </c:pt>
                <c:pt idx="4072">
                  <c:v>2.9000000000000001E-2</c:v>
                </c:pt>
                <c:pt idx="4073">
                  <c:v>0.128</c:v>
                </c:pt>
                <c:pt idx="4074">
                  <c:v>-7.0000000000000001E-3</c:v>
                </c:pt>
                <c:pt idx="4075">
                  <c:v>-2.5000000000000001E-2</c:v>
                </c:pt>
                <c:pt idx="4076">
                  <c:v>-2.3E-2</c:v>
                </c:pt>
                <c:pt idx="4077">
                  <c:v>-3.5999999999999997E-2</c:v>
                </c:pt>
                <c:pt idx="4078">
                  <c:v>-3.7999999999999999E-2</c:v>
                </c:pt>
                <c:pt idx="4079">
                  <c:v>-5.1999999999999998E-2</c:v>
                </c:pt>
                <c:pt idx="4080">
                  <c:v>-0.04</c:v>
                </c:pt>
                <c:pt idx="4081">
                  <c:v>-2.5000000000000001E-2</c:v>
                </c:pt>
                <c:pt idx="4082">
                  <c:v>-1.4E-2</c:v>
                </c:pt>
                <c:pt idx="4083">
                  <c:v>-2.1000000000000001E-2</c:v>
                </c:pt>
                <c:pt idx="4084">
                  <c:v>-1.6E-2</c:v>
                </c:pt>
                <c:pt idx="4085">
                  <c:v>-1.9E-2</c:v>
                </c:pt>
                <c:pt idx="4086">
                  <c:v>-2.5999999999999999E-2</c:v>
                </c:pt>
                <c:pt idx="4087">
                  <c:v>-0.03</c:v>
                </c:pt>
                <c:pt idx="4088">
                  <c:v>-5.5E-2</c:v>
                </c:pt>
                <c:pt idx="4089">
                  <c:v>-5.0999999999999997E-2</c:v>
                </c:pt>
                <c:pt idx="4090">
                  <c:v>-7.6999999999999999E-2</c:v>
                </c:pt>
                <c:pt idx="4091">
                  <c:v>-8.5000000000000006E-2</c:v>
                </c:pt>
                <c:pt idx="4092">
                  <c:v>-0.06</c:v>
                </c:pt>
                <c:pt idx="4093">
                  <c:v>-7.6999999999999999E-2</c:v>
                </c:pt>
                <c:pt idx="4094">
                  <c:v>0.14399999999999999</c:v>
                </c:pt>
                <c:pt idx="4095">
                  <c:v>-7.9000000000000001E-2</c:v>
                </c:pt>
                <c:pt idx="4096">
                  <c:v>-7.3999999999999996E-2</c:v>
                </c:pt>
                <c:pt idx="4097">
                  <c:v>-7.4999999999999997E-2</c:v>
                </c:pt>
                <c:pt idx="4098">
                  <c:v>-6.9000000000000006E-2</c:v>
                </c:pt>
                <c:pt idx="4099">
                  <c:v>-7.0000000000000007E-2</c:v>
                </c:pt>
                <c:pt idx="4100">
                  <c:v>-4.7E-2</c:v>
                </c:pt>
                <c:pt idx="4101">
                  <c:v>-6.3E-2</c:v>
                </c:pt>
                <c:pt idx="4102">
                  <c:v>-6.9000000000000006E-2</c:v>
                </c:pt>
                <c:pt idx="4103">
                  <c:v>-6.7000000000000004E-2</c:v>
                </c:pt>
                <c:pt idx="4104">
                  <c:v>-6.7000000000000004E-2</c:v>
                </c:pt>
                <c:pt idx="4105">
                  <c:v>-8.1000000000000003E-2</c:v>
                </c:pt>
                <c:pt idx="4106">
                  <c:v>-7.4999999999999997E-2</c:v>
                </c:pt>
                <c:pt idx="4107">
                  <c:v>-8.1000000000000003E-2</c:v>
                </c:pt>
                <c:pt idx="4108">
                  <c:v>-6.8000000000000005E-2</c:v>
                </c:pt>
                <c:pt idx="4109">
                  <c:v>-3.5999999999999997E-2</c:v>
                </c:pt>
                <c:pt idx="4110">
                  <c:v>-1.9E-2</c:v>
                </c:pt>
                <c:pt idx="4111">
                  <c:v>-3.3000000000000002E-2</c:v>
                </c:pt>
                <c:pt idx="4112">
                  <c:v>-1.9E-2</c:v>
                </c:pt>
                <c:pt idx="4113">
                  <c:v>-2.9000000000000001E-2</c:v>
                </c:pt>
                <c:pt idx="4114">
                  <c:v>-2.8000000000000001E-2</c:v>
                </c:pt>
                <c:pt idx="4115">
                  <c:v>8.5999999999999993E-2</c:v>
                </c:pt>
                <c:pt idx="4116">
                  <c:v>-2.4E-2</c:v>
                </c:pt>
                <c:pt idx="4117">
                  <c:v>-3.4000000000000002E-2</c:v>
                </c:pt>
                <c:pt idx="4118">
                  <c:v>-3.6999999999999998E-2</c:v>
                </c:pt>
                <c:pt idx="4119">
                  <c:v>-2.5999999999999999E-2</c:v>
                </c:pt>
                <c:pt idx="4120">
                  <c:v>-3.6999999999999998E-2</c:v>
                </c:pt>
                <c:pt idx="4121">
                  <c:v>-4.2000000000000003E-2</c:v>
                </c:pt>
                <c:pt idx="4122">
                  <c:v>-4.1000000000000002E-2</c:v>
                </c:pt>
                <c:pt idx="4123">
                  <c:v>-4.8000000000000001E-2</c:v>
                </c:pt>
                <c:pt idx="4124">
                  <c:v>-4.4999999999999998E-2</c:v>
                </c:pt>
                <c:pt idx="4125">
                  <c:v>-4.5999999999999999E-2</c:v>
                </c:pt>
                <c:pt idx="4126">
                  <c:v>-4.9000000000000002E-2</c:v>
                </c:pt>
                <c:pt idx="4127">
                  <c:v>-0.04</c:v>
                </c:pt>
                <c:pt idx="4128">
                  <c:v>-3.7999999999999999E-2</c:v>
                </c:pt>
                <c:pt idx="4129">
                  <c:v>-3.4000000000000002E-2</c:v>
                </c:pt>
                <c:pt idx="4130">
                  <c:v>-4.2999999999999997E-2</c:v>
                </c:pt>
                <c:pt idx="4131">
                  <c:v>-4.3999999999999997E-2</c:v>
                </c:pt>
                <c:pt idx="4132">
                  <c:v>-4.8000000000000001E-2</c:v>
                </c:pt>
                <c:pt idx="4133">
                  <c:v>-4.5999999999999999E-2</c:v>
                </c:pt>
                <c:pt idx="4134">
                  <c:v>-6.2E-2</c:v>
                </c:pt>
                <c:pt idx="4135">
                  <c:v>6.4000000000000001E-2</c:v>
                </c:pt>
                <c:pt idx="4136">
                  <c:v>-5.5E-2</c:v>
                </c:pt>
                <c:pt idx="4137">
                  <c:v>-6.3E-2</c:v>
                </c:pt>
                <c:pt idx="4138">
                  <c:v>-0.06</c:v>
                </c:pt>
                <c:pt idx="4139">
                  <c:v>-5.6000000000000001E-2</c:v>
                </c:pt>
                <c:pt idx="4140">
                  <c:v>-6.4000000000000001E-2</c:v>
                </c:pt>
                <c:pt idx="4141">
                  <c:v>-6.4000000000000001E-2</c:v>
                </c:pt>
                <c:pt idx="4142">
                  <c:v>-6.4000000000000001E-2</c:v>
                </c:pt>
                <c:pt idx="4143">
                  <c:v>-5.5E-2</c:v>
                </c:pt>
                <c:pt idx="4144">
                  <c:v>-5.5E-2</c:v>
                </c:pt>
                <c:pt idx="4145">
                  <c:v>-0.04</c:v>
                </c:pt>
                <c:pt idx="4146">
                  <c:v>-5.8000000000000003E-2</c:v>
                </c:pt>
                <c:pt idx="4147">
                  <c:v>-4.1000000000000002E-2</c:v>
                </c:pt>
                <c:pt idx="4148">
                  <c:v>-5.7000000000000002E-2</c:v>
                </c:pt>
                <c:pt idx="4149">
                  <c:v>-0.04</c:v>
                </c:pt>
                <c:pt idx="4150">
                  <c:v>-5.5E-2</c:v>
                </c:pt>
                <c:pt idx="4151">
                  <c:v>-4.8000000000000001E-2</c:v>
                </c:pt>
                <c:pt idx="4152">
                  <c:v>-5.8999999999999997E-2</c:v>
                </c:pt>
                <c:pt idx="4153">
                  <c:v>-6.3E-2</c:v>
                </c:pt>
                <c:pt idx="4154">
                  <c:v>-5.8000000000000003E-2</c:v>
                </c:pt>
                <c:pt idx="4155">
                  <c:v>-5.2999999999999999E-2</c:v>
                </c:pt>
                <c:pt idx="4156">
                  <c:v>-0.05</c:v>
                </c:pt>
                <c:pt idx="4157">
                  <c:v>0.05</c:v>
                </c:pt>
                <c:pt idx="4158">
                  <c:v>-7.0000000000000007E-2</c:v>
                </c:pt>
                <c:pt idx="4159">
                  <c:v>-7.9000000000000001E-2</c:v>
                </c:pt>
                <c:pt idx="4160">
                  <c:v>-0.08</c:v>
                </c:pt>
                <c:pt idx="4161">
                  <c:v>-7.3999999999999996E-2</c:v>
                </c:pt>
                <c:pt idx="4162">
                  <c:v>-5.6000000000000001E-2</c:v>
                </c:pt>
                <c:pt idx="4163">
                  <c:v>-7.0000000000000007E-2</c:v>
                </c:pt>
                <c:pt idx="4164">
                  <c:v>-7.1999999999999995E-2</c:v>
                </c:pt>
                <c:pt idx="4165">
                  <c:v>-8.8999999999999996E-2</c:v>
                </c:pt>
                <c:pt idx="4166">
                  <c:v>-7.3999999999999996E-2</c:v>
                </c:pt>
                <c:pt idx="4167">
                  <c:v>-9.2999999999999999E-2</c:v>
                </c:pt>
                <c:pt idx="4168">
                  <c:v>-7.2999999999999995E-2</c:v>
                </c:pt>
                <c:pt idx="4169">
                  <c:v>-7.9000000000000001E-2</c:v>
                </c:pt>
                <c:pt idx="4170">
                  <c:v>-8.4000000000000005E-2</c:v>
                </c:pt>
                <c:pt idx="4171">
                  <c:v>-7.6999999999999999E-2</c:v>
                </c:pt>
                <c:pt idx="4172">
                  <c:v>-0.08</c:v>
                </c:pt>
                <c:pt idx="4173">
                  <c:v>-8.1000000000000003E-2</c:v>
                </c:pt>
                <c:pt idx="4174">
                  <c:v>-8.1000000000000003E-2</c:v>
                </c:pt>
                <c:pt idx="4175">
                  <c:v>-7.9000000000000001E-2</c:v>
                </c:pt>
                <c:pt idx="4176">
                  <c:v>-7.1999999999999995E-2</c:v>
                </c:pt>
                <c:pt idx="4177">
                  <c:v>-2.7E-2</c:v>
                </c:pt>
                <c:pt idx="4178">
                  <c:v>-8.4000000000000005E-2</c:v>
                </c:pt>
                <c:pt idx="4179">
                  <c:v>-8.5000000000000006E-2</c:v>
                </c:pt>
                <c:pt idx="4180">
                  <c:v>-8.7999999999999995E-2</c:v>
                </c:pt>
                <c:pt idx="4181">
                  <c:v>-8.8999999999999996E-2</c:v>
                </c:pt>
                <c:pt idx="4182">
                  <c:v>-8.6999999999999994E-2</c:v>
                </c:pt>
                <c:pt idx="4183">
                  <c:v>-8.8999999999999996E-2</c:v>
                </c:pt>
                <c:pt idx="4184">
                  <c:v>-9.0999999999999998E-2</c:v>
                </c:pt>
                <c:pt idx="4185">
                  <c:v>-0.13700000000000001</c:v>
                </c:pt>
                <c:pt idx="4186">
                  <c:v>-0.14299999999999999</c:v>
                </c:pt>
                <c:pt idx="4187">
                  <c:v>-0.11</c:v>
                </c:pt>
                <c:pt idx="4188">
                  <c:v>-0.105</c:v>
                </c:pt>
                <c:pt idx="4189">
                  <c:v>-0.106</c:v>
                </c:pt>
                <c:pt idx="4190">
                  <c:v>-0.105</c:v>
                </c:pt>
                <c:pt idx="4191">
                  <c:v>-0.106</c:v>
                </c:pt>
                <c:pt idx="4192">
                  <c:v>-0.14000000000000001</c:v>
                </c:pt>
                <c:pt idx="4193">
                  <c:v>-0.14299999999999999</c:v>
                </c:pt>
                <c:pt idx="4194">
                  <c:v>-0.109</c:v>
                </c:pt>
                <c:pt idx="4195">
                  <c:v>-0.114</c:v>
                </c:pt>
                <c:pt idx="4196">
                  <c:v>-0.104</c:v>
                </c:pt>
                <c:pt idx="4197">
                  <c:v>-0.08</c:v>
                </c:pt>
                <c:pt idx="4198">
                  <c:v>-0.106</c:v>
                </c:pt>
                <c:pt idx="4199">
                  <c:v>-0.122</c:v>
                </c:pt>
                <c:pt idx="4200">
                  <c:v>-0.14299999999999999</c:v>
                </c:pt>
                <c:pt idx="4201">
                  <c:v>-0.13800000000000001</c:v>
                </c:pt>
                <c:pt idx="4202">
                  <c:v>-0.115</c:v>
                </c:pt>
                <c:pt idx="4203">
                  <c:v>-0.127</c:v>
                </c:pt>
                <c:pt idx="4204">
                  <c:v>-0.126</c:v>
                </c:pt>
                <c:pt idx="4205">
                  <c:v>-0.11700000000000001</c:v>
                </c:pt>
                <c:pt idx="4206">
                  <c:v>-0.12</c:v>
                </c:pt>
                <c:pt idx="4207">
                  <c:v>-0.125</c:v>
                </c:pt>
                <c:pt idx="4208">
                  <c:v>-0.11899999999999999</c:v>
                </c:pt>
                <c:pt idx="4209">
                  <c:v>-0.125</c:v>
                </c:pt>
                <c:pt idx="4210">
                  <c:v>-0.11</c:v>
                </c:pt>
                <c:pt idx="4211">
                  <c:v>-0.11799999999999999</c:v>
                </c:pt>
                <c:pt idx="4212">
                  <c:v>-0.12</c:v>
                </c:pt>
                <c:pt idx="4213">
                  <c:v>-0.127</c:v>
                </c:pt>
                <c:pt idx="4214">
                  <c:v>-0.121</c:v>
                </c:pt>
                <c:pt idx="4215">
                  <c:v>-0.111</c:v>
                </c:pt>
                <c:pt idx="4216">
                  <c:v>-0.11600000000000001</c:v>
                </c:pt>
                <c:pt idx="4217">
                  <c:v>-0.123</c:v>
                </c:pt>
                <c:pt idx="4218">
                  <c:v>-0.11799999999999999</c:v>
                </c:pt>
                <c:pt idx="4219">
                  <c:v>-0.06</c:v>
                </c:pt>
                <c:pt idx="4220">
                  <c:v>-0.123</c:v>
                </c:pt>
                <c:pt idx="4221">
                  <c:v>-0.121</c:v>
                </c:pt>
                <c:pt idx="4222">
                  <c:v>-0.11600000000000001</c:v>
                </c:pt>
                <c:pt idx="4223">
                  <c:v>-0.122</c:v>
                </c:pt>
                <c:pt idx="4224">
                  <c:v>-0.12</c:v>
                </c:pt>
                <c:pt idx="4225">
                  <c:v>-0.11799999999999999</c:v>
                </c:pt>
                <c:pt idx="4226">
                  <c:v>-0.121</c:v>
                </c:pt>
                <c:pt idx="4227">
                  <c:v>-0.12</c:v>
                </c:pt>
                <c:pt idx="4228">
                  <c:v>-0.11799999999999999</c:v>
                </c:pt>
                <c:pt idx="4229">
                  <c:v>-0.112</c:v>
                </c:pt>
                <c:pt idx="4230">
                  <c:v>-0.122</c:v>
                </c:pt>
                <c:pt idx="4231">
                  <c:v>-0.124</c:v>
                </c:pt>
                <c:pt idx="4232">
                  <c:v>-0.122</c:v>
                </c:pt>
                <c:pt idx="4233">
                  <c:v>-0.11600000000000001</c:v>
                </c:pt>
                <c:pt idx="4234">
                  <c:v>-0.121</c:v>
                </c:pt>
                <c:pt idx="4235">
                  <c:v>-0.12</c:v>
                </c:pt>
                <c:pt idx="4236">
                  <c:v>-0.115</c:v>
                </c:pt>
                <c:pt idx="4237">
                  <c:v>-0.114</c:v>
                </c:pt>
                <c:pt idx="4238">
                  <c:v>-0.11700000000000001</c:v>
                </c:pt>
                <c:pt idx="4239">
                  <c:v>-0.114</c:v>
                </c:pt>
                <c:pt idx="4240">
                  <c:v>-0.113</c:v>
                </c:pt>
                <c:pt idx="4241">
                  <c:v>-0.11600000000000001</c:v>
                </c:pt>
                <c:pt idx="4242">
                  <c:v>-0.10199999999999999</c:v>
                </c:pt>
                <c:pt idx="4243">
                  <c:v>-0.108</c:v>
                </c:pt>
                <c:pt idx="4244">
                  <c:v>-0.11</c:v>
                </c:pt>
                <c:pt idx="4245">
                  <c:v>-0.108</c:v>
                </c:pt>
                <c:pt idx="4246">
                  <c:v>-0.11600000000000001</c:v>
                </c:pt>
                <c:pt idx="4247">
                  <c:v>-0.11899999999999999</c:v>
                </c:pt>
                <c:pt idx="4248">
                  <c:v>-0.129</c:v>
                </c:pt>
                <c:pt idx="4249">
                  <c:v>-0.11700000000000001</c:v>
                </c:pt>
                <c:pt idx="4250">
                  <c:v>-0.124</c:v>
                </c:pt>
                <c:pt idx="4251">
                  <c:v>-0.129</c:v>
                </c:pt>
                <c:pt idx="4252">
                  <c:v>-0.13</c:v>
                </c:pt>
                <c:pt idx="4253">
                  <c:v>-0.122</c:v>
                </c:pt>
                <c:pt idx="4254">
                  <c:v>-0.126</c:v>
                </c:pt>
                <c:pt idx="4255">
                  <c:v>-0.11899999999999999</c:v>
                </c:pt>
                <c:pt idx="4256">
                  <c:v>-0.11799999999999999</c:v>
                </c:pt>
                <c:pt idx="4257">
                  <c:v>-0.11899999999999999</c:v>
                </c:pt>
                <c:pt idx="4258">
                  <c:v>-0.126</c:v>
                </c:pt>
                <c:pt idx="4259">
                  <c:v>-0.13500000000000001</c:v>
                </c:pt>
                <c:pt idx="4260">
                  <c:v>-0.129</c:v>
                </c:pt>
                <c:pt idx="4261">
                  <c:v>-0.127</c:v>
                </c:pt>
                <c:pt idx="4262">
                  <c:v>-0.126</c:v>
                </c:pt>
                <c:pt idx="4263">
                  <c:v>-0.11</c:v>
                </c:pt>
                <c:pt idx="4264">
                  <c:v>-0.125</c:v>
                </c:pt>
                <c:pt idx="4265">
                  <c:v>-0.125</c:v>
                </c:pt>
                <c:pt idx="4266">
                  <c:v>-0.124</c:v>
                </c:pt>
                <c:pt idx="4267">
                  <c:v>-0.13300000000000001</c:v>
                </c:pt>
                <c:pt idx="4268">
                  <c:v>-0.13600000000000001</c:v>
                </c:pt>
                <c:pt idx="4269">
                  <c:v>-0.13400000000000001</c:v>
                </c:pt>
                <c:pt idx="4270">
                  <c:v>-0.13</c:v>
                </c:pt>
                <c:pt idx="4271">
                  <c:v>-0.13200000000000001</c:v>
                </c:pt>
                <c:pt idx="4272">
                  <c:v>-0.13</c:v>
                </c:pt>
                <c:pt idx="4273">
                  <c:v>-0.14000000000000001</c:v>
                </c:pt>
                <c:pt idx="4274">
                  <c:v>-0.14199999999999999</c:v>
                </c:pt>
                <c:pt idx="4275">
                  <c:v>-0.13600000000000001</c:v>
                </c:pt>
                <c:pt idx="4276">
                  <c:v>-0.13800000000000001</c:v>
                </c:pt>
                <c:pt idx="4277">
                  <c:v>-0.14099999999999999</c:v>
                </c:pt>
                <c:pt idx="4278">
                  <c:v>-0.14499999999999999</c:v>
                </c:pt>
                <c:pt idx="4279">
                  <c:v>-0.14199999999999999</c:v>
                </c:pt>
                <c:pt idx="4280">
                  <c:v>-0.14299999999999999</c:v>
                </c:pt>
                <c:pt idx="4281">
                  <c:v>-0.14299999999999999</c:v>
                </c:pt>
                <c:pt idx="4282">
                  <c:v>-0.14299999999999999</c:v>
                </c:pt>
                <c:pt idx="4283">
                  <c:v>-0.14599999999999999</c:v>
                </c:pt>
                <c:pt idx="4284">
                  <c:v>-0.13500000000000001</c:v>
                </c:pt>
                <c:pt idx="4285">
                  <c:v>-0.122</c:v>
                </c:pt>
                <c:pt idx="4286">
                  <c:v>-0.14199999999999999</c:v>
                </c:pt>
                <c:pt idx="4287">
                  <c:v>-0.13900000000000001</c:v>
                </c:pt>
                <c:pt idx="4288">
                  <c:v>-0.14399999999999999</c:v>
                </c:pt>
                <c:pt idx="4289">
                  <c:v>-0.13400000000000001</c:v>
                </c:pt>
                <c:pt idx="4290">
                  <c:v>-0.13900000000000001</c:v>
                </c:pt>
                <c:pt idx="4291">
                  <c:v>-0.13800000000000001</c:v>
                </c:pt>
                <c:pt idx="4292">
                  <c:v>-0.14199999999999999</c:v>
                </c:pt>
                <c:pt idx="4293">
                  <c:v>-0.13400000000000001</c:v>
                </c:pt>
                <c:pt idx="4294">
                  <c:v>-0.13600000000000001</c:v>
                </c:pt>
                <c:pt idx="4295">
                  <c:v>-0.13500000000000001</c:v>
                </c:pt>
                <c:pt idx="4296">
                  <c:v>-0.14299999999999999</c:v>
                </c:pt>
                <c:pt idx="4297">
                  <c:v>-0.14199999999999999</c:v>
                </c:pt>
                <c:pt idx="4298">
                  <c:v>-0.14199999999999999</c:v>
                </c:pt>
                <c:pt idx="4299">
                  <c:v>-0.13900000000000001</c:v>
                </c:pt>
                <c:pt idx="4300">
                  <c:v>-0.13600000000000001</c:v>
                </c:pt>
                <c:pt idx="4301">
                  <c:v>-0.13900000000000001</c:v>
                </c:pt>
                <c:pt idx="4302">
                  <c:v>-0.13400000000000001</c:v>
                </c:pt>
                <c:pt idx="4303">
                  <c:v>-0.14399999999999999</c:v>
                </c:pt>
                <c:pt idx="4304">
                  <c:v>-0.13700000000000001</c:v>
                </c:pt>
                <c:pt idx="4305">
                  <c:v>-0.14499999999999999</c:v>
                </c:pt>
                <c:pt idx="4306">
                  <c:v>-0.14299999999999999</c:v>
                </c:pt>
                <c:pt idx="4307">
                  <c:v>-0.129</c:v>
                </c:pt>
                <c:pt idx="4308">
                  <c:v>-0.129</c:v>
                </c:pt>
                <c:pt idx="4309">
                  <c:v>-0.13400000000000001</c:v>
                </c:pt>
                <c:pt idx="4310">
                  <c:v>-0.13</c:v>
                </c:pt>
                <c:pt idx="4311">
                  <c:v>-0.129</c:v>
                </c:pt>
                <c:pt idx="4312">
                  <c:v>-0.13800000000000001</c:v>
                </c:pt>
                <c:pt idx="4313">
                  <c:v>-0.14499999999999999</c:v>
                </c:pt>
                <c:pt idx="4314">
                  <c:v>-0.13900000000000001</c:v>
                </c:pt>
                <c:pt idx="4315">
                  <c:v>-0.13100000000000001</c:v>
                </c:pt>
                <c:pt idx="4316">
                  <c:v>-0.13800000000000001</c:v>
                </c:pt>
                <c:pt idx="4317">
                  <c:v>-0.13200000000000001</c:v>
                </c:pt>
                <c:pt idx="4318">
                  <c:v>-0.13800000000000001</c:v>
                </c:pt>
                <c:pt idx="4319">
                  <c:v>-0.13100000000000001</c:v>
                </c:pt>
                <c:pt idx="4320">
                  <c:v>-0.129</c:v>
                </c:pt>
                <c:pt idx="4321">
                  <c:v>-0.13700000000000001</c:v>
                </c:pt>
                <c:pt idx="4322">
                  <c:v>-0.13300000000000001</c:v>
                </c:pt>
                <c:pt idx="4323">
                  <c:v>-0.13800000000000001</c:v>
                </c:pt>
                <c:pt idx="4324">
                  <c:v>-0.13900000000000001</c:v>
                </c:pt>
                <c:pt idx="4325">
                  <c:v>-0.13400000000000001</c:v>
                </c:pt>
                <c:pt idx="4326">
                  <c:v>-0.13900000000000001</c:v>
                </c:pt>
                <c:pt idx="4327">
                  <c:v>-0.13800000000000001</c:v>
                </c:pt>
                <c:pt idx="4328">
                  <c:v>-0.127</c:v>
                </c:pt>
                <c:pt idx="4329">
                  <c:v>-0.13100000000000001</c:v>
                </c:pt>
                <c:pt idx="4330">
                  <c:v>-0.13200000000000001</c:v>
                </c:pt>
                <c:pt idx="4331">
                  <c:v>-0.13600000000000001</c:v>
                </c:pt>
                <c:pt idx="4332">
                  <c:v>-0.13800000000000001</c:v>
                </c:pt>
                <c:pt idx="4333">
                  <c:v>-0.14199999999999999</c:v>
                </c:pt>
                <c:pt idx="4334">
                  <c:v>-0.23499999999999999</c:v>
                </c:pt>
                <c:pt idx="4335">
                  <c:v>-0.23200000000000001</c:v>
                </c:pt>
                <c:pt idx="4336">
                  <c:v>-0.23100000000000001</c:v>
                </c:pt>
                <c:pt idx="4337">
                  <c:v>-0.23</c:v>
                </c:pt>
                <c:pt idx="4338">
                  <c:v>-0.23899999999999999</c:v>
                </c:pt>
                <c:pt idx="4339">
                  <c:v>-0.24099999999999999</c:v>
                </c:pt>
                <c:pt idx="4340">
                  <c:v>-0.23799999999999999</c:v>
                </c:pt>
                <c:pt idx="4341">
                  <c:v>-0.23699999999999999</c:v>
                </c:pt>
                <c:pt idx="4342">
                  <c:v>-0.23100000000000001</c:v>
                </c:pt>
                <c:pt idx="4343">
                  <c:v>-0.23100000000000001</c:v>
                </c:pt>
                <c:pt idx="4344">
                  <c:v>-0.23400000000000001</c:v>
                </c:pt>
                <c:pt idx="4345">
                  <c:v>-0.24399999999999999</c:v>
                </c:pt>
                <c:pt idx="4346">
                  <c:v>-0.23799999999999999</c:v>
                </c:pt>
                <c:pt idx="4347">
                  <c:v>-0.223</c:v>
                </c:pt>
                <c:pt idx="4348">
                  <c:v>-0.14000000000000001</c:v>
                </c:pt>
                <c:pt idx="4349">
                  <c:v>-0.127</c:v>
                </c:pt>
                <c:pt idx="4350">
                  <c:v>-0.24099999999999999</c:v>
                </c:pt>
                <c:pt idx="4351">
                  <c:v>-0.251</c:v>
                </c:pt>
                <c:pt idx="4352">
                  <c:v>-0.253</c:v>
                </c:pt>
                <c:pt idx="4353">
                  <c:v>-0.23300000000000001</c:v>
                </c:pt>
                <c:pt idx="4354">
                  <c:v>-0.23499999999999999</c:v>
                </c:pt>
                <c:pt idx="4355">
                  <c:v>-0.23599999999999999</c:v>
                </c:pt>
                <c:pt idx="4356">
                  <c:v>-0.23300000000000001</c:v>
                </c:pt>
                <c:pt idx="4357">
                  <c:v>-0.23699999999999999</c:v>
                </c:pt>
                <c:pt idx="4358">
                  <c:v>-0.24</c:v>
                </c:pt>
                <c:pt idx="4359">
                  <c:v>-0.23899999999999999</c:v>
                </c:pt>
                <c:pt idx="4360">
                  <c:v>-0.24</c:v>
                </c:pt>
                <c:pt idx="4361">
                  <c:v>-0.23899999999999999</c:v>
                </c:pt>
                <c:pt idx="4362">
                  <c:v>-0.23799999999999999</c:v>
                </c:pt>
                <c:pt idx="4363">
                  <c:v>-0.24</c:v>
                </c:pt>
                <c:pt idx="4364">
                  <c:v>-0.24099999999999999</c:v>
                </c:pt>
                <c:pt idx="4365">
                  <c:v>-0.23799999999999999</c:v>
                </c:pt>
                <c:pt idx="4366">
                  <c:v>-0.23599999999999999</c:v>
                </c:pt>
                <c:pt idx="4367">
                  <c:v>-0.23699999999999999</c:v>
                </c:pt>
                <c:pt idx="4368">
                  <c:v>-0.23899999999999999</c:v>
                </c:pt>
                <c:pt idx="4369">
                  <c:v>-0.22800000000000001</c:v>
                </c:pt>
                <c:pt idx="4370">
                  <c:v>-0.23699999999999999</c:v>
                </c:pt>
                <c:pt idx="4371">
                  <c:v>-0.23200000000000001</c:v>
                </c:pt>
                <c:pt idx="4372">
                  <c:v>-0.247</c:v>
                </c:pt>
                <c:pt idx="4373">
                  <c:v>-0.23100000000000001</c:v>
                </c:pt>
                <c:pt idx="4374">
                  <c:v>-0.23599999999999999</c:v>
                </c:pt>
                <c:pt idx="4375">
                  <c:v>-0.24199999999999999</c:v>
                </c:pt>
                <c:pt idx="4376">
                  <c:v>-0.23699999999999999</c:v>
                </c:pt>
                <c:pt idx="4377">
                  <c:v>-0.23699999999999999</c:v>
                </c:pt>
                <c:pt idx="4378">
                  <c:v>-0.23899999999999999</c:v>
                </c:pt>
                <c:pt idx="4379">
                  <c:v>-0.24</c:v>
                </c:pt>
                <c:pt idx="4380">
                  <c:v>-0.24299999999999999</c:v>
                </c:pt>
                <c:pt idx="4381">
                  <c:v>-0.24199999999999999</c:v>
                </c:pt>
                <c:pt idx="4382">
                  <c:v>-0.24399999999999999</c:v>
                </c:pt>
                <c:pt idx="4383">
                  <c:v>-0.24399999999999999</c:v>
                </c:pt>
                <c:pt idx="4384">
                  <c:v>-0.24299999999999999</c:v>
                </c:pt>
                <c:pt idx="4385">
                  <c:v>-0.24199999999999999</c:v>
                </c:pt>
                <c:pt idx="4386">
                  <c:v>-0.246</c:v>
                </c:pt>
                <c:pt idx="4387">
                  <c:v>-0.247</c:v>
                </c:pt>
                <c:pt idx="4388">
                  <c:v>-0.249</c:v>
                </c:pt>
                <c:pt idx="4389">
                  <c:v>-0.24299999999999999</c:v>
                </c:pt>
                <c:pt idx="4390">
                  <c:v>-0.22700000000000001</c:v>
                </c:pt>
                <c:pt idx="4391">
                  <c:v>-0.23799999999999999</c:v>
                </c:pt>
                <c:pt idx="4392">
                  <c:v>-0.23400000000000001</c:v>
                </c:pt>
                <c:pt idx="4393">
                  <c:v>-0.23799999999999999</c:v>
                </c:pt>
                <c:pt idx="4394">
                  <c:v>-0.23599999999999999</c:v>
                </c:pt>
                <c:pt idx="4395">
                  <c:v>-0.23899999999999999</c:v>
                </c:pt>
                <c:pt idx="4396">
                  <c:v>-0.23400000000000001</c:v>
                </c:pt>
                <c:pt idx="4397">
                  <c:v>-0.23599999999999999</c:v>
                </c:pt>
                <c:pt idx="4398">
                  <c:v>-0.24199999999999999</c:v>
                </c:pt>
                <c:pt idx="4399">
                  <c:v>-0.24199999999999999</c:v>
                </c:pt>
                <c:pt idx="4400">
                  <c:v>-0.24299999999999999</c:v>
                </c:pt>
                <c:pt idx="4401">
                  <c:v>-0.248</c:v>
                </c:pt>
                <c:pt idx="4402">
                  <c:v>-0.33900000000000002</c:v>
                </c:pt>
                <c:pt idx="4403">
                  <c:v>-0.34699999999999998</c:v>
                </c:pt>
                <c:pt idx="4404">
                  <c:v>-0.34499999999999997</c:v>
                </c:pt>
                <c:pt idx="4405">
                  <c:v>-0.34499999999999997</c:v>
                </c:pt>
                <c:pt idx="4406">
                  <c:v>-0.34399999999999997</c:v>
                </c:pt>
                <c:pt idx="4407">
                  <c:v>-0.34599999999999997</c:v>
                </c:pt>
                <c:pt idx="4408">
                  <c:v>-0.34899999999999998</c:v>
                </c:pt>
                <c:pt idx="4409">
                  <c:v>-0.34699999999999998</c:v>
                </c:pt>
                <c:pt idx="4410">
                  <c:v>-0.34699999999999998</c:v>
                </c:pt>
                <c:pt idx="4411">
                  <c:v>-0.30299999999999999</c:v>
                </c:pt>
                <c:pt idx="4412">
                  <c:v>-0.33500000000000002</c:v>
                </c:pt>
                <c:pt idx="4413">
                  <c:v>-0.33100000000000002</c:v>
                </c:pt>
                <c:pt idx="4414">
                  <c:v>-0.33200000000000002</c:v>
                </c:pt>
                <c:pt idx="4415">
                  <c:v>-0.33400000000000002</c:v>
                </c:pt>
                <c:pt idx="4416">
                  <c:v>-0.33</c:v>
                </c:pt>
                <c:pt idx="4417">
                  <c:v>-0.33400000000000002</c:v>
                </c:pt>
                <c:pt idx="4418">
                  <c:v>-0.33300000000000002</c:v>
                </c:pt>
                <c:pt idx="4419">
                  <c:v>-0.34100000000000003</c:v>
                </c:pt>
                <c:pt idx="4420">
                  <c:v>-0.33700000000000002</c:v>
                </c:pt>
                <c:pt idx="4421">
                  <c:v>-0.34</c:v>
                </c:pt>
                <c:pt idx="4422">
                  <c:v>-0.34100000000000003</c:v>
                </c:pt>
                <c:pt idx="4423">
                  <c:v>-0.34799999999999998</c:v>
                </c:pt>
                <c:pt idx="4424">
                  <c:v>-0.34</c:v>
                </c:pt>
                <c:pt idx="4425">
                  <c:v>-0.34300000000000003</c:v>
                </c:pt>
                <c:pt idx="4426">
                  <c:v>-0.34200000000000003</c:v>
                </c:pt>
                <c:pt idx="4427">
                  <c:v>-0.34</c:v>
                </c:pt>
                <c:pt idx="4428">
                  <c:v>-0.34100000000000003</c:v>
                </c:pt>
                <c:pt idx="4429">
                  <c:v>-0.34200000000000003</c:v>
                </c:pt>
                <c:pt idx="4430">
                  <c:v>-0.34</c:v>
                </c:pt>
                <c:pt idx="4431">
                  <c:v>-0.33700000000000002</c:v>
                </c:pt>
                <c:pt idx="4432">
                  <c:v>-0.33300000000000002</c:v>
                </c:pt>
                <c:pt idx="4433">
                  <c:v>-0.33800000000000002</c:v>
                </c:pt>
                <c:pt idx="4434">
                  <c:v>-0.33100000000000002</c:v>
                </c:pt>
                <c:pt idx="4435">
                  <c:v>-0.33600000000000002</c:v>
                </c:pt>
                <c:pt idx="4436">
                  <c:v>-0.34100000000000003</c:v>
                </c:pt>
                <c:pt idx="4437">
                  <c:v>-0.32900000000000001</c:v>
                </c:pt>
                <c:pt idx="4438">
                  <c:v>-0.32600000000000001</c:v>
                </c:pt>
                <c:pt idx="4439">
                  <c:v>-0.33300000000000002</c:v>
                </c:pt>
                <c:pt idx="4440">
                  <c:v>-0.33500000000000002</c:v>
                </c:pt>
                <c:pt idx="4441">
                  <c:v>-0.34200000000000003</c:v>
                </c:pt>
                <c:pt idx="4442">
                  <c:v>-0.34100000000000003</c:v>
                </c:pt>
                <c:pt idx="4443">
                  <c:v>-0.34699999999999998</c:v>
                </c:pt>
                <c:pt idx="4444">
                  <c:v>-0.33400000000000002</c:v>
                </c:pt>
                <c:pt idx="4445">
                  <c:v>-0.33700000000000002</c:v>
                </c:pt>
                <c:pt idx="4446">
                  <c:v>-0.34</c:v>
                </c:pt>
                <c:pt idx="4447">
                  <c:v>-0.33500000000000002</c:v>
                </c:pt>
                <c:pt idx="4448">
                  <c:v>-0.33800000000000002</c:v>
                </c:pt>
                <c:pt idx="4449">
                  <c:v>-0.34</c:v>
                </c:pt>
                <c:pt idx="4450">
                  <c:v>-0.34200000000000003</c:v>
                </c:pt>
                <c:pt idx="4451">
                  <c:v>-0.35599999999999998</c:v>
                </c:pt>
                <c:pt idx="4452">
                  <c:v>-0.34599999999999997</c:v>
                </c:pt>
                <c:pt idx="4453">
                  <c:v>-0.34499999999999997</c:v>
                </c:pt>
                <c:pt idx="4454">
                  <c:v>-0.32400000000000001</c:v>
                </c:pt>
                <c:pt idx="4455">
                  <c:v>-0.33300000000000002</c:v>
                </c:pt>
                <c:pt idx="4456">
                  <c:v>-0.33</c:v>
                </c:pt>
                <c:pt idx="4457">
                  <c:v>-0.33800000000000002</c:v>
                </c:pt>
                <c:pt idx="4458">
                  <c:v>-0.33100000000000002</c:v>
                </c:pt>
                <c:pt idx="4459">
                  <c:v>-0.33300000000000002</c:v>
                </c:pt>
                <c:pt idx="4460">
                  <c:v>-0.33700000000000002</c:v>
                </c:pt>
                <c:pt idx="4461">
                  <c:v>-0.33100000000000002</c:v>
                </c:pt>
                <c:pt idx="4462">
                  <c:v>-0.32900000000000001</c:v>
                </c:pt>
                <c:pt idx="4463">
                  <c:v>-0.32700000000000001</c:v>
                </c:pt>
                <c:pt idx="4464">
                  <c:v>-0.33</c:v>
                </c:pt>
                <c:pt idx="4465">
                  <c:v>-0.33400000000000002</c:v>
                </c:pt>
                <c:pt idx="4466">
                  <c:v>-0.33500000000000002</c:v>
                </c:pt>
                <c:pt idx="4467">
                  <c:v>-0.34100000000000003</c:v>
                </c:pt>
                <c:pt idx="4468">
                  <c:v>-0.34100000000000003</c:v>
                </c:pt>
                <c:pt idx="4469">
                  <c:v>-0.33500000000000002</c:v>
                </c:pt>
                <c:pt idx="4470">
                  <c:v>-0.34</c:v>
                </c:pt>
                <c:pt idx="4471">
                  <c:v>-0.34499999999999997</c:v>
                </c:pt>
                <c:pt idx="4472">
                  <c:v>-0.32300000000000001</c:v>
                </c:pt>
                <c:pt idx="4473">
                  <c:v>-0.33600000000000002</c:v>
                </c:pt>
                <c:pt idx="4474">
                  <c:v>-0.33700000000000002</c:v>
                </c:pt>
                <c:pt idx="4475">
                  <c:v>-0.33700000000000002</c:v>
                </c:pt>
                <c:pt idx="4476">
                  <c:v>-0.29299999999999998</c:v>
                </c:pt>
                <c:pt idx="4477">
                  <c:v>-0.32100000000000001</c:v>
                </c:pt>
                <c:pt idx="4478">
                  <c:v>-0.315</c:v>
                </c:pt>
                <c:pt idx="4479">
                  <c:v>-0.32300000000000001</c:v>
                </c:pt>
                <c:pt idx="4480">
                  <c:v>-0.32600000000000001</c:v>
                </c:pt>
                <c:pt idx="4481">
                  <c:v>-0.32900000000000001</c:v>
                </c:pt>
                <c:pt idx="4482">
                  <c:v>-0.32100000000000001</c:v>
                </c:pt>
                <c:pt idx="4483">
                  <c:v>-0.32600000000000001</c:v>
                </c:pt>
                <c:pt idx="4484">
                  <c:v>-0.32400000000000001</c:v>
                </c:pt>
                <c:pt idx="4485">
                  <c:v>-0.32600000000000001</c:v>
                </c:pt>
                <c:pt idx="4486">
                  <c:v>-0.33200000000000002</c:v>
                </c:pt>
                <c:pt idx="4487">
                  <c:v>-0.33300000000000002</c:v>
                </c:pt>
                <c:pt idx="4488">
                  <c:v>-0.33400000000000002</c:v>
                </c:pt>
                <c:pt idx="4489">
                  <c:v>-0.33600000000000002</c:v>
                </c:pt>
                <c:pt idx="4490">
                  <c:v>-0.33300000000000002</c:v>
                </c:pt>
                <c:pt idx="4491">
                  <c:v>-0.33500000000000002</c:v>
                </c:pt>
                <c:pt idx="4492">
                  <c:v>-0.33500000000000002</c:v>
                </c:pt>
                <c:pt idx="4493">
                  <c:v>-0.33400000000000002</c:v>
                </c:pt>
                <c:pt idx="4494">
                  <c:v>-0.33400000000000002</c:v>
                </c:pt>
                <c:pt idx="4495">
                  <c:v>-0.33100000000000002</c:v>
                </c:pt>
                <c:pt idx="4496">
                  <c:v>-0.33500000000000002</c:v>
                </c:pt>
                <c:pt idx="4497">
                  <c:v>-0.32100000000000001</c:v>
                </c:pt>
                <c:pt idx="4498">
                  <c:v>-0.33</c:v>
                </c:pt>
                <c:pt idx="4499">
                  <c:v>-0.33100000000000002</c:v>
                </c:pt>
                <c:pt idx="4500">
                  <c:v>-0.33200000000000002</c:v>
                </c:pt>
                <c:pt idx="4501">
                  <c:v>-0.33700000000000002</c:v>
                </c:pt>
                <c:pt idx="4502">
                  <c:v>-0.33900000000000002</c:v>
                </c:pt>
                <c:pt idx="4503">
                  <c:v>-0.34200000000000003</c:v>
                </c:pt>
                <c:pt idx="4504">
                  <c:v>-0.33800000000000002</c:v>
                </c:pt>
                <c:pt idx="4505">
                  <c:v>-0.33300000000000002</c:v>
                </c:pt>
                <c:pt idx="4506">
                  <c:v>-0.34399999999999997</c:v>
                </c:pt>
                <c:pt idx="4507">
                  <c:v>-0.34699999999999998</c:v>
                </c:pt>
                <c:pt idx="4508">
                  <c:v>-0.34599999999999997</c:v>
                </c:pt>
                <c:pt idx="4509">
                  <c:v>-0.33600000000000002</c:v>
                </c:pt>
                <c:pt idx="4510">
                  <c:v>-0.33800000000000002</c:v>
                </c:pt>
                <c:pt idx="4511">
                  <c:v>-0.33900000000000002</c:v>
                </c:pt>
                <c:pt idx="4512">
                  <c:v>-0.34200000000000003</c:v>
                </c:pt>
                <c:pt idx="4513">
                  <c:v>-0.34100000000000003</c:v>
                </c:pt>
                <c:pt idx="4514">
                  <c:v>-0.34</c:v>
                </c:pt>
                <c:pt idx="4515">
                  <c:v>-0.33900000000000002</c:v>
                </c:pt>
                <c:pt idx="4516">
                  <c:v>-0.34100000000000003</c:v>
                </c:pt>
                <c:pt idx="4517">
                  <c:v>-0.34300000000000003</c:v>
                </c:pt>
                <c:pt idx="4518">
                  <c:v>-0.34499999999999997</c:v>
                </c:pt>
                <c:pt idx="4519">
                  <c:v>-0.34100000000000003</c:v>
                </c:pt>
                <c:pt idx="4520">
                  <c:v>-0.32900000000000001</c:v>
                </c:pt>
                <c:pt idx="4521">
                  <c:v>-0.33800000000000002</c:v>
                </c:pt>
                <c:pt idx="4522">
                  <c:v>-0.33900000000000002</c:v>
                </c:pt>
                <c:pt idx="4523">
                  <c:v>-0.33900000000000002</c:v>
                </c:pt>
                <c:pt idx="4524">
                  <c:v>-0.34100000000000003</c:v>
                </c:pt>
                <c:pt idx="4525">
                  <c:v>-0.35399999999999998</c:v>
                </c:pt>
                <c:pt idx="4526">
                  <c:v>-0.33700000000000002</c:v>
                </c:pt>
                <c:pt idx="4527">
                  <c:v>-0.34200000000000003</c:v>
                </c:pt>
                <c:pt idx="4528">
                  <c:v>-0.34399999999999997</c:v>
                </c:pt>
                <c:pt idx="4529">
                  <c:v>-0.34599999999999997</c:v>
                </c:pt>
                <c:pt idx="4530">
                  <c:v>-0.34200000000000003</c:v>
                </c:pt>
                <c:pt idx="4531">
                  <c:v>-0.34499999999999997</c:v>
                </c:pt>
                <c:pt idx="4532">
                  <c:v>-0.34599999999999997</c:v>
                </c:pt>
                <c:pt idx="4533">
                  <c:v>-0.34699999999999998</c:v>
                </c:pt>
                <c:pt idx="4534">
                  <c:v>-0.34599999999999997</c:v>
                </c:pt>
                <c:pt idx="4535">
                  <c:v>-0.34699999999999998</c:v>
                </c:pt>
              </c:numCache>
            </c:numRef>
          </c:val>
          <c:smooth val="0"/>
          <c:extLst>
            <c:ext xmlns:c16="http://schemas.microsoft.com/office/drawing/2014/chart" uri="{C3380CC4-5D6E-409C-BE32-E72D297353CC}">
              <c16:uniqueId val="{00000000-1658-4113-BEBA-F5130FDBD3F7}"/>
            </c:ext>
          </c:extLst>
        </c:ser>
        <c:dLbls>
          <c:showLegendKey val="0"/>
          <c:showVal val="0"/>
          <c:showCatName val="0"/>
          <c:showSerName val="0"/>
          <c:showPercent val="0"/>
          <c:showBubbleSize val="0"/>
        </c:dLbls>
        <c:smooth val="0"/>
        <c:axId val="109183360"/>
        <c:axId val="185563776"/>
      </c:lineChart>
      <c:dateAx>
        <c:axId val="109183360"/>
        <c:scaling>
          <c:orientation val="minMax"/>
        </c:scaling>
        <c:delete val="0"/>
        <c:axPos val="b"/>
        <c:numFmt formatCode="m/d/yyyy" sourceLinked="1"/>
        <c:majorTickMark val="out"/>
        <c:minorTickMark val="none"/>
        <c:tickLblPos val="nextTo"/>
        <c:crossAx val="185563776"/>
        <c:crosses val="autoZero"/>
        <c:auto val="1"/>
        <c:lblOffset val="100"/>
        <c:baseTimeUnit val="days"/>
      </c:dateAx>
      <c:valAx>
        <c:axId val="185563776"/>
        <c:scaling>
          <c:orientation val="minMax"/>
        </c:scaling>
        <c:delete val="0"/>
        <c:axPos val="l"/>
        <c:majorGridlines/>
        <c:numFmt formatCode="General" sourceLinked="1"/>
        <c:majorTickMark val="out"/>
        <c:minorTickMark val="none"/>
        <c:tickLblPos val="nextTo"/>
        <c:crossAx val="10918336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numRef>
              <c:f>mh.m.ec.credit.3.r.1b.to.t.m.x.!$A$73:$A$352</c:f>
              <c:numCache>
                <c:formatCode>mmm\-yy</c:formatCode>
                <c:ptCount val="280"/>
                <c:pt idx="0">
                  <c:v>34060</c:v>
                </c:pt>
                <c:pt idx="1">
                  <c:v>34090</c:v>
                </c:pt>
                <c:pt idx="2">
                  <c:v>34121</c:v>
                </c:pt>
                <c:pt idx="3">
                  <c:v>34151</c:v>
                </c:pt>
                <c:pt idx="4">
                  <c:v>34182</c:v>
                </c:pt>
                <c:pt idx="5">
                  <c:v>34213</c:v>
                </c:pt>
                <c:pt idx="6">
                  <c:v>34243</c:v>
                </c:pt>
                <c:pt idx="7">
                  <c:v>34274</c:v>
                </c:pt>
                <c:pt idx="8">
                  <c:v>34304</c:v>
                </c:pt>
                <c:pt idx="9">
                  <c:v>34335</c:v>
                </c:pt>
                <c:pt idx="10">
                  <c:v>34366</c:v>
                </c:pt>
                <c:pt idx="11">
                  <c:v>34394</c:v>
                </c:pt>
                <c:pt idx="12">
                  <c:v>34425</c:v>
                </c:pt>
                <c:pt idx="13">
                  <c:v>34455</c:v>
                </c:pt>
                <c:pt idx="14">
                  <c:v>34486</c:v>
                </c:pt>
                <c:pt idx="15">
                  <c:v>34516</c:v>
                </c:pt>
                <c:pt idx="16">
                  <c:v>34547</c:v>
                </c:pt>
                <c:pt idx="17">
                  <c:v>34578</c:v>
                </c:pt>
                <c:pt idx="18">
                  <c:v>34608</c:v>
                </c:pt>
                <c:pt idx="19">
                  <c:v>34639</c:v>
                </c:pt>
                <c:pt idx="20">
                  <c:v>34669</c:v>
                </c:pt>
                <c:pt idx="21">
                  <c:v>34700</c:v>
                </c:pt>
                <c:pt idx="22">
                  <c:v>34731</c:v>
                </c:pt>
                <c:pt idx="23">
                  <c:v>34759</c:v>
                </c:pt>
                <c:pt idx="24">
                  <c:v>34790</c:v>
                </c:pt>
                <c:pt idx="25">
                  <c:v>34820</c:v>
                </c:pt>
                <c:pt idx="26">
                  <c:v>34851</c:v>
                </c:pt>
                <c:pt idx="27">
                  <c:v>34881</c:v>
                </c:pt>
                <c:pt idx="28">
                  <c:v>34912</c:v>
                </c:pt>
                <c:pt idx="29">
                  <c:v>34943</c:v>
                </c:pt>
                <c:pt idx="30">
                  <c:v>34973</c:v>
                </c:pt>
                <c:pt idx="31">
                  <c:v>35004</c:v>
                </c:pt>
                <c:pt idx="32">
                  <c:v>35034</c:v>
                </c:pt>
                <c:pt idx="33">
                  <c:v>35065</c:v>
                </c:pt>
                <c:pt idx="34">
                  <c:v>35096</c:v>
                </c:pt>
                <c:pt idx="35">
                  <c:v>35125</c:v>
                </c:pt>
                <c:pt idx="36">
                  <c:v>35156</c:v>
                </c:pt>
                <c:pt idx="37">
                  <c:v>35186</c:v>
                </c:pt>
                <c:pt idx="38">
                  <c:v>35217</c:v>
                </c:pt>
                <c:pt idx="39">
                  <c:v>35247</c:v>
                </c:pt>
                <c:pt idx="40">
                  <c:v>35278</c:v>
                </c:pt>
                <c:pt idx="41">
                  <c:v>35309</c:v>
                </c:pt>
                <c:pt idx="42">
                  <c:v>35339</c:v>
                </c:pt>
                <c:pt idx="43">
                  <c:v>35370</c:v>
                </c:pt>
                <c:pt idx="44">
                  <c:v>35400</c:v>
                </c:pt>
                <c:pt idx="45">
                  <c:v>35431</c:v>
                </c:pt>
                <c:pt idx="46">
                  <c:v>35462</c:v>
                </c:pt>
                <c:pt idx="47">
                  <c:v>35490</c:v>
                </c:pt>
                <c:pt idx="48">
                  <c:v>35521</c:v>
                </c:pt>
                <c:pt idx="49">
                  <c:v>35551</c:v>
                </c:pt>
                <c:pt idx="50">
                  <c:v>35582</c:v>
                </c:pt>
                <c:pt idx="51">
                  <c:v>35612</c:v>
                </c:pt>
                <c:pt idx="52">
                  <c:v>35643</c:v>
                </c:pt>
                <c:pt idx="53">
                  <c:v>35674</c:v>
                </c:pt>
                <c:pt idx="54">
                  <c:v>35704</c:v>
                </c:pt>
                <c:pt idx="55">
                  <c:v>35735</c:v>
                </c:pt>
                <c:pt idx="56">
                  <c:v>35765</c:v>
                </c:pt>
                <c:pt idx="57">
                  <c:v>35796</c:v>
                </c:pt>
                <c:pt idx="58">
                  <c:v>35827</c:v>
                </c:pt>
                <c:pt idx="59">
                  <c:v>35855</c:v>
                </c:pt>
                <c:pt idx="60">
                  <c:v>35886</c:v>
                </c:pt>
                <c:pt idx="61">
                  <c:v>35916</c:v>
                </c:pt>
                <c:pt idx="62">
                  <c:v>35947</c:v>
                </c:pt>
                <c:pt idx="63">
                  <c:v>35977</c:v>
                </c:pt>
                <c:pt idx="64">
                  <c:v>36008</c:v>
                </c:pt>
                <c:pt idx="65">
                  <c:v>36039</c:v>
                </c:pt>
                <c:pt idx="66">
                  <c:v>36069</c:v>
                </c:pt>
                <c:pt idx="67">
                  <c:v>36100</c:v>
                </c:pt>
                <c:pt idx="68">
                  <c:v>36130</c:v>
                </c:pt>
                <c:pt idx="69">
                  <c:v>36161</c:v>
                </c:pt>
                <c:pt idx="70">
                  <c:v>36192</c:v>
                </c:pt>
                <c:pt idx="71">
                  <c:v>36220</c:v>
                </c:pt>
                <c:pt idx="72">
                  <c:v>36251</c:v>
                </c:pt>
                <c:pt idx="73">
                  <c:v>36281</c:v>
                </c:pt>
                <c:pt idx="74">
                  <c:v>36312</c:v>
                </c:pt>
                <c:pt idx="75">
                  <c:v>36342</c:v>
                </c:pt>
                <c:pt idx="76">
                  <c:v>36373</c:v>
                </c:pt>
                <c:pt idx="77">
                  <c:v>36404</c:v>
                </c:pt>
                <c:pt idx="78">
                  <c:v>36434</c:v>
                </c:pt>
                <c:pt idx="79">
                  <c:v>36465</c:v>
                </c:pt>
                <c:pt idx="80">
                  <c:v>36495</c:v>
                </c:pt>
                <c:pt idx="81">
                  <c:v>36526</c:v>
                </c:pt>
                <c:pt idx="82">
                  <c:v>36557</c:v>
                </c:pt>
                <c:pt idx="83">
                  <c:v>36586</c:v>
                </c:pt>
                <c:pt idx="84">
                  <c:v>36617</c:v>
                </c:pt>
                <c:pt idx="85">
                  <c:v>36647</c:v>
                </c:pt>
                <c:pt idx="86">
                  <c:v>36678</c:v>
                </c:pt>
                <c:pt idx="87">
                  <c:v>36708</c:v>
                </c:pt>
                <c:pt idx="88">
                  <c:v>36739</c:v>
                </c:pt>
                <c:pt idx="89">
                  <c:v>36770</c:v>
                </c:pt>
                <c:pt idx="90">
                  <c:v>36800</c:v>
                </c:pt>
                <c:pt idx="91">
                  <c:v>36831</c:v>
                </c:pt>
                <c:pt idx="92">
                  <c:v>36861</c:v>
                </c:pt>
                <c:pt idx="93">
                  <c:v>36892</c:v>
                </c:pt>
                <c:pt idx="94">
                  <c:v>36923</c:v>
                </c:pt>
                <c:pt idx="95">
                  <c:v>36951</c:v>
                </c:pt>
                <c:pt idx="96">
                  <c:v>36982</c:v>
                </c:pt>
                <c:pt idx="97">
                  <c:v>37012</c:v>
                </c:pt>
                <c:pt idx="98">
                  <c:v>37043</c:v>
                </c:pt>
                <c:pt idx="99">
                  <c:v>37073</c:v>
                </c:pt>
                <c:pt idx="100">
                  <c:v>37104</c:v>
                </c:pt>
                <c:pt idx="101">
                  <c:v>37135</c:v>
                </c:pt>
                <c:pt idx="102">
                  <c:v>37165</c:v>
                </c:pt>
                <c:pt idx="103">
                  <c:v>37196</c:v>
                </c:pt>
                <c:pt idx="104">
                  <c:v>37226</c:v>
                </c:pt>
                <c:pt idx="105">
                  <c:v>37257</c:v>
                </c:pt>
                <c:pt idx="106">
                  <c:v>37288</c:v>
                </c:pt>
                <c:pt idx="107">
                  <c:v>37316</c:v>
                </c:pt>
                <c:pt idx="108">
                  <c:v>37347</c:v>
                </c:pt>
                <c:pt idx="109">
                  <c:v>37377</c:v>
                </c:pt>
                <c:pt idx="110">
                  <c:v>37408</c:v>
                </c:pt>
                <c:pt idx="111">
                  <c:v>37438</c:v>
                </c:pt>
                <c:pt idx="112">
                  <c:v>37469</c:v>
                </c:pt>
                <c:pt idx="113">
                  <c:v>37500</c:v>
                </c:pt>
                <c:pt idx="114">
                  <c:v>37530</c:v>
                </c:pt>
                <c:pt idx="115">
                  <c:v>37561</c:v>
                </c:pt>
                <c:pt idx="116">
                  <c:v>37591</c:v>
                </c:pt>
                <c:pt idx="117">
                  <c:v>37622</c:v>
                </c:pt>
                <c:pt idx="118">
                  <c:v>37653</c:v>
                </c:pt>
                <c:pt idx="119">
                  <c:v>37681</c:v>
                </c:pt>
                <c:pt idx="120">
                  <c:v>37712</c:v>
                </c:pt>
                <c:pt idx="121">
                  <c:v>37742</c:v>
                </c:pt>
                <c:pt idx="122">
                  <c:v>37773</c:v>
                </c:pt>
                <c:pt idx="123">
                  <c:v>37803</c:v>
                </c:pt>
                <c:pt idx="124">
                  <c:v>37834</c:v>
                </c:pt>
                <c:pt idx="125">
                  <c:v>37865</c:v>
                </c:pt>
                <c:pt idx="126">
                  <c:v>37895</c:v>
                </c:pt>
                <c:pt idx="127">
                  <c:v>37926</c:v>
                </c:pt>
                <c:pt idx="128">
                  <c:v>37956</c:v>
                </c:pt>
                <c:pt idx="129">
                  <c:v>37987</c:v>
                </c:pt>
                <c:pt idx="130">
                  <c:v>38018</c:v>
                </c:pt>
                <c:pt idx="131">
                  <c:v>38047</c:v>
                </c:pt>
                <c:pt idx="132">
                  <c:v>38078</c:v>
                </c:pt>
                <c:pt idx="133">
                  <c:v>38108</c:v>
                </c:pt>
                <c:pt idx="134">
                  <c:v>38139</c:v>
                </c:pt>
                <c:pt idx="135">
                  <c:v>38169</c:v>
                </c:pt>
                <c:pt idx="136">
                  <c:v>38200</c:v>
                </c:pt>
                <c:pt idx="137">
                  <c:v>38231</c:v>
                </c:pt>
                <c:pt idx="138">
                  <c:v>38261</c:v>
                </c:pt>
                <c:pt idx="139">
                  <c:v>38292</c:v>
                </c:pt>
                <c:pt idx="140">
                  <c:v>38322</c:v>
                </c:pt>
                <c:pt idx="141">
                  <c:v>38353</c:v>
                </c:pt>
                <c:pt idx="142">
                  <c:v>38384</c:v>
                </c:pt>
                <c:pt idx="143">
                  <c:v>38412</c:v>
                </c:pt>
                <c:pt idx="144">
                  <c:v>38443</c:v>
                </c:pt>
                <c:pt idx="145">
                  <c:v>38473</c:v>
                </c:pt>
                <c:pt idx="146">
                  <c:v>38504</c:v>
                </c:pt>
                <c:pt idx="147">
                  <c:v>38534</c:v>
                </c:pt>
                <c:pt idx="148">
                  <c:v>38565</c:v>
                </c:pt>
                <c:pt idx="149">
                  <c:v>38596</c:v>
                </c:pt>
                <c:pt idx="150">
                  <c:v>38626</c:v>
                </c:pt>
                <c:pt idx="151">
                  <c:v>38657</c:v>
                </c:pt>
                <c:pt idx="152">
                  <c:v>38687</c:v>
                </c:pt>
                <c:pt idx="153">
                  <c:v>38718</c:v>
                </c:pt>
                <c:pt idx="154">
                  <c:v>38749</c:v>
                </c:pt>
                <c:pt idx="155">
                  <c:v>38777</c:v>
                </c:pt>
                <c:pt idx="156">
                  <c:v>38808</c:v>
                </c:pt>
                <c:pt idx="157">
                  <c:v>38838</c:v>
                </c:pt>
                <c:pt idx="158">
                  <c:v>38869</c:v>
                </c:pt>
                <c:pt idx="159">
                  <c:v>38899</c:v>
                </c:pt>
                <c:pt idx="160">
                  <c:v>38930</c:v>
                </c:pt>
                <c:pt idx="161">
                  <c:v>38961</c:v>
                </c:pt>
                <c:pt idx="162">
                  <c:v>38991</c:v>
                </c:pt>
                <c:pt idx="163">
                  <c:v>39022</c:v>
                </c:pt>
                <c:pt idx="164">
                  <c:v>39052</c:v>
                </c:pt>
                <c:pt idx="165">
                  <c:v>39083</c:v>
                </c:pt>
                <c:pt idx="166">
                  <c:v>39114</c:v>
                </c:pt>
                <c:pt idx="167">
                  <c:v>39142</c:v>
                </c:pt>
                <c:pt idx="168">
                  <c:v>39173</c:v>
                </c:pt>
                <c:pt idx="169">
                  <c:v>39203</c:v>
                </c:pt>
                <c:pt idx="170">
                  <c:v>39234</c:v>
                </c:pt>
                <c:pt idx="171">
                  <c:v>39264</c:v>
                </c:pt>
                <c:pt idx="172">
                  <c:v>39295</c:v>
                </c:pt>
                <c:pt idx="173">
                  <c:v>39326</c:v>
                </c:pt>
                <c:pt idx="174">
                  <c:v>39356</c:v>
                </c:pt>
                <c:pt idx="175">
                  <c:v>39387</c:v>
                </c:pt>
                <c:pt idx="176">
                  <c:v>39417</c:v>
                </c:pt>
                <c:pt idx="177">
                  <c:v>39448</c:v>
                </c:pt>
                <c:pt idx="178">
                  <c:v>39479</c:v>
                </c:pt>
                <c:pt idx="179">
                  <c:v>39508</c:v>
                </c:pt>
                <c:pt idx="180">
                  <c:v>39539</c:v>
                </c:pt>
                <c:pt idx="181">
                  <c:v>39569</c:v>
                </c:pt>
                <c:pt idx="182">
                  <c:v>39600</c:v>
                </c:pt>
                <c:pt idx="183">
                  <c:v>39630</c:v>
                </c:pt>
                <c:pt idx="184">
                  <c:v>39661</c:v>
                </c:pt>
                <c:pt idx="185">
                  <c:v>39692</c:v>
                </c:pt>
                <c:pt idx="186">
                  <c:v>39722</c:v>
                </c:pt>
                <c:pt idx="187">
                  <c:v>39753</c:v>
                </c:pt>
                <c:pt idx="188">
                  <c:v>39783</c:v>
                </c:pt>
                <c:pt idx="189">
                  <c:v>39814</c:v>
                </c:pt>
                <c:pt idx="190">
                  <c:v>39845</c:v>
                </c:pt>
                <c:pt idx="191">
                  <c:v>39873</c:v>
                </c:pt>
                <c:pt idx="192">
                  <c:v>39904</c:v>
                </c:pt>
                <c:pt idx="193">
                  <c:v>39934</c:v>
                </c:pt>
                <c:pt idx="194">
                  <c:v>39965</c:v>
                </c:pt>
                <c:pt idx="195">
                  <c:v>39995</c:v>
                </c:pt>
                <c:pt idx="196">
                  <c:v>40026</c:v>
                </c:pt>
                <c:pt idx="197">
                  <c:v>40057</c:v>
                </c:pt>
                <c:pt idx="198">
                  <c:v>40087</c:v>
                </c:pt>
                <c:pt idx="199">
                  <c:v>40118</c:v>
                </c:pt>
                <c:pt idx="200">
                  <c:v>40148</c:v>
                </c:pt>
                <c:pt idx="201">
                  <c:v>40179</c:v>
                </c:pt>
                <c:pt idx="202">
                  <c:v>40210</c:v>
                </c:pt>
                <c:pt idx="203">
                  <c:v>40238</c:v>
                </c:pt>
                <c:pt idx="204">
                  <c:v>40269</c:v>
                </c:pt>
                <c:pt idx="205">
                  <c:v>40299</c:v>
                </c:pt>
                <c:pt idx="206">
                  <c:v>40330</c:v>
                </c:pt>
                <c:pt idx="207">
                  <c:v>40360</c:v>
                </c:pt>
                <c:pt idx="208">
                  <c:v>40391</c:v>
                </c:pt>
                <c:pt idx="209">
                  <c:v>40422</c:v>
                </c:pt>
                <c:pt idx="210">
                  <c:v>40452</c:v>
                </c:pt>
                <c:pt idx="211">
                  <c:v>40483</c:v>
                </c:pt>
                <c:pt idx="212">
                  <c:v>40513</c:v>
                </c:pt>
                <c:pt idx="213">
                  <c:v>40544</c:v>
                </c:pt>
                <c:pt idx="214">
                  <c:v>40575</c:v>
                </c:pt>
                <c:pt idx="215">
                  <c:v>40603</c:v>
                </c:pt>
                <c:pt idx="216">
                  <c:v>40634</c:v>
                </c:pt>
                <c:pt idx="217">
                  <c:v>40664</c:v>
                </c:pt>
                <c:pt idx="218">
                  <c:v>40695</c:v>
                </c:pt>
                <c:pt idx="219">
                  <c:v>40725</c:v>
                </c:pt>
                <c:pt idx="220">
                  <c:v>40756</c:v>
                </c:pt>
                <c:pt idx="221">
                  <c:v>40787</c:v>
                </c:pt>
                <c:pt idx="222">
                  <c:v>40817</c:v>
                </c:pt>
                <c:pt idx="223">
                  <c:v>40848</c:v>
                </c:pt>
                <c:pt idx="224">
                  <c:v>40878</c:v>
                </c:pt>
                <c:pt idx="225">
                  <c:v>40909</c:v>
                </c:pt>
                <c:pt idx="226">
                  <c:v>40940</c:v>
                </c:pt>
                <c:pt idx="227">
                  <c:v>40969</c:v>
                </c:pt>
                <c:pt idx="228">
                  <c:v>41000</c:v>
                </c:pt>
                <c:pt idx="229">
                  <c:v>41030</c:v>
                </c:pt>
                <c:pt idx="230">
                  <c:v>41061</c:v>
                </c:pt>
                <c:pt idx="231">
                  <c:v>41091</c:v>
                </c:pt>
                <c:pt idx="232">
                  <c:v>41122</c:v>
                </c:pt>
                <c:pt idx="233">
                  <c:v>41153</c:v>
                </c:pt>
                <c:pt idx="234">
                  <c:v>41183</c:v>
                </c:pt>
                <c:pt idx="235">
                  <c:v>41214</c:v>
                </c:pt>
                <c:pt idx="236">
                  <c:v>41244</c:v>
                </c:pt>
                <c:pt idx="237">
                  <c:v>41275</c:v>
                </c:pt>
                <c:pt idx="238">
                  <c:v>41306</c:v>
                </c:pt>
                <c:pt idx="239">
                  <c:v>41334</c:v>
                </c:pt>
                <c:pt idx="240">
                  <c:v>41365</c:v>
                </c:pt>
                <c:pt idx="241">
                  <c:v>41395</c:v>
                </c:pt>
                <c:pt idx="242">
                  <c:v>41426</c:v>
                </c:pt>
                <c:pt idx="243">
                  <c:v>41456</c:v>
                </c:pt>
                <c:pt idx="244">
                  <c:v>41487</c:v>
                </c:pt>
                <c:pt idx="245">
                  <c:v>41518</c:v>
                </c:pt>
                <c:pt idx="246">
                  <c:v>41548</c:v>
                </c:pt>
                <c:pt idx="247">
                  <c:v>41579</c:v>
                </c:pt>
                <c:pt idx="248">
                  <c:v>41609</c:v>
                </c:pt>
                <c:pt idx="249">
                  <c:v>41640</c:v>
                </c:pt>
                <c:pt idx="250">
                  <c:v>41671</c:v>
                </c:pt>
                <c:pt idx="251">
                  <c:v>41699</c:v>
                </c:pt>
                <c:pt idx="252">
                  <c:v>41730</c:v>
                </c:pt>
                <c:pt idx="253">
                  <c:v>41760</c:v>
                </c:pt>
                <c:pt idx="254">
                  <c:v>41791</c:v>
                </c:pt>
                <c:pt idx="255">
                  <c:v>41821</c:v>
                </c:pt>
                <c:pt idx="256">
                  <c:v>41852</c:v>
                </c:pt>
                <c:pt idx="257">
                  <c:v>41883</c:v>
                </c:pt>
                <c:pt idx="258">
                  <c:v>41913</c:v>
                </c:pt>
                <c:pt idx="259">
                  <c:v>41944</c:v>
                </c:pt>
                <c:pt idx="260">
                  <c:v>41974</c:v>
                </c:pt>
                <c:pt idx="261">
                  <c:v>42005</c:v>
                </c:pt>
                <c:pt idx="262">
                  <c:v>42036</c:v>
                </c:pt>
                <c:pt idx="263">
                  <c:v>42064</c:v>
                </c:pt>
                <c:pt idx="264">
                  <c:v>42095</c:v>
                </c:pt>
                <c:pt idx="265">
                  <c:v>42125</c:v>
                </c:pt>
                <c:pt idx="266">
                  <c:v>42156</c:v>
                </c:pt>
                <c:pt idx="267">
                  <c:v>42186</c:v>
                </c:pt>
                <c:pt idx="268">
                  <c:v>42217</c:v>
                </c:pt>
                <c:pt idx="269">
                  <c:v>42248</c:v>
                </c:pt>
                <c:pt idx="270">
                  <c:v>42278</c:v>
                </c:pt>
                <c:pt idx="271">
                  <c:v>42309</c:v>
                </c:pt>
                <c:pt idx="272">
                  <c:v>42339</c:v>
                </c:pt>
                <c:pt idx="273">
                  <c:v>42370</c:v>
                </c:pt>
                <c:pt idx="274">
                  <c:v>42401</c:v>
                </c:pt>
                <c:pt idx="275">
                  <c:v>42430</c:v>
                </c:pt>
                <c:pt idx="276">
                  <c:v>42461</c:v>
                </c:pt>
                <c:pt idx="277">
                  <c:v>42491</c:v>
                </c:pt>
                <c:pt idx="278">
                  <c:v>42522</c:v>
                </c:pt>
                <c:pt idx="279">
                  <c:v>42552</c:v>
                </c:pt>
              </c:numCache>
            </c:numRef>
          </c:cat>
          <c:val>
            <c:numRef>
              <c:f>mh.m.ec.credit.3.r.1b.to.t.m.x.!$B$73:$B$352</c:f>
              <c:numCache>
                <c:formatCode>General</c:formatCode>
                <c:ptCount val="280"/>
                <c:pt idx="0">
                  <c:v>454703</c:v>
                </c:pt>
                <c:pt idx="1">
                  <c:v>449742</c:v>
                </c:pt>
                <c:pt idx="2">
                  <c:v>452660</c:v>
                </c:pt>
                <c:pt idx="3">
                  <c:v>456896</c:v>
                </c:pt>
                <c:pt idx="4">
                  <c:v>449861</c:v>
                </c:pt>
                <c:pt idx="5">
                  <c:v>448619</c:v>
                </c:pt>
                <c:pt idx="6">
                  <c:v>450761</c:v>
                </c:pt>
                <c:pt idx="7">
                  <c:v>444194</c:v>
                </c:pt>
                <c:pt idx="8">
                  <c:v>441686</c:v>
                </c:pt>
                <c:pt idx="9">
                  <c:v>440379</c:v>
                </c:pt>
                <c:pt idx="10">
                  <c:v>436298</c:v>
                </c:pt>
                <c:pt idx="11">
                  <c:v>437896</c:v>
                </c:pt>
                <c:pt idx="12">
                  <c:v>440556</c:v>
                </c:pt>
                <c:pt idx="13">
                  <c:v>439556</c:v>
                </c:pt>
                <c:pt idx="14">
                  <c:v>441043</c:v>
                </c:pt>
                <c:pt idx="15">
                  <c:v>443144</c:v>
                </c:pt>
                <c:pt idx="16">
                  <c:v>434232</c:v>
                </c:pt>
                <c:pt idx="17">
                  <c:v>434064</c:v>
                </c:pt>
                <c:pt idx="18">
                  <c:v>439399</c:v>
                </c:pt>
                <c:pt idx="19">
                  <c:v>434919</c:v>
                </c:pt>
                <c:pt idx="20">
                  <c:v>437962</c:v>
                </c:pt>
                <c:pt idx="21">
                  <c:v>434157</c:v>
                </c:pt>
                <c:pt idx="22">
                  <c:v>432859</c:v>
                </c:pt>
                <c:pt idx="23">
                  <c:v>434614</c:v>
                </c:pt>
                <c:pt idx="24">
                  <c:v>439358</c:v>
                </c:pt>
                <c:pt idx="25">
                  <c:v>437674</c:v>
                </c:pt>
                <c:pt idx="26">
                  <c:v>441590</c:v>
                </c:pt>
                <c:pt idx="27">
                  <c:v>440473</c:v>
                </c:pt>
                <c:pt idx="28">
                  <c:v>435907</c:v>
                </c:pt>
                <c:pt idx="29">
                  <c:v>438704</c:v>
                </c:pt>
                <c:pt idx="30">
                  <c:v>437884</c:v>
                </c:pt>
                <c:pt idx="31">
                  <c:v>437597</c:v>
                </c:pt>
                <c:pt idx="32">
                  <c:v>441473</c:v>
                </c:pt>
                <c:pt idx="33">
                  <c:v>437908</c:v>
                </c:pt>
                <c:pt idx="34">
                  <c:v>433166</c:v>
                </c:pt>
                <c:pt idx="35">
                  <c:v>434844</c:v>
                </c:pt>
                <c:pt idx="36">
                  <c:v>435103</c:v>
                </c:pt>
                <c:pt idx="37">
                  <c:v>431932</c:v>
                </c:pt>
                <c:pt idx="38">
                  <c:v>437195</c:v>
                </c:pt>
                <c:pt idx="39">
                  <c:v>430376</c:v>
                </c:pt>
                <c:pt idx="40">
                  <c:v>433017</c:v>
                </c:pt>
                <c:pt idx="41">
                  <c:v>429242</c:v>
                </c:pt>
                <c:pt idx="42">
                  <c:v>425113</c:v>
                </c:pt>
                <c:pt idx="43">
                  <c:v>425689</c:v>
                </c:pt>
                <c:pt idx="44">
                  <c:v>421940</c:v>
                </c:pt>
                <c:pt idx="45">
                  <c:v>419504</c:v>
                </c:pt>
                <c:pt idx="46">
                  <c:v>417632</c:v>
                </c:pt>
                <c:pt idx="47">
                  <c:v>421585</c:v>
                </c:pt>
                <c:pt idx="48">
                  <c:v>421585</c:v>
                </c:pt>
                <c:pt idx="49">
                  <c:v>419532</c:v>
                </c:pt>
                <c:pt idx="50">
                  <c:v>427610</c:v>
                </c:pt>
                <c:pt idx="51">
                  <c:v>423376</c:v>
                </c:pt>
                <c:pt idx="52">
                  <c:v>420240</c:v>
                </c:pt>
                <c:pt idx="53">
                  <c:v>416111</c:v>
                </c:pt>
                <c:pt idx="54">
                  <c:v>421404</c:v>
                </c:pt>
                <c:pt idx="55">
                  <c:v>421219</c:v>
                </c:pt>
                <c:pt idx="56">
                  <c:v>422437</c:v>
                </c:pt>
                <c:pt idx="57">
                  <c:v>427067</c:v>
                </c:pt>
                <c:pt idx="58">
                  <c:v>430428</c:v>
                </c:pt>
                <c:pt idx="59">
                  <c:v>430704</c:v>
                </c:pt>
                <c:pt idx="60">
                  <c:v>434374</c:v>
                </c:pt>
                <c:pt idx="61">
                  <c:v>430198</c:v>
                </c:pt>
                <c:pt idx="62">
                  <c:v>431539</c:v>
                </c:pt>
                <c:pt idx="63">
                  <c:v>432328</c:v>
                </c:pt>
                <c:pt idx="64">
                  <c:v>426754</c:v>
                </c:pt>
                <c:pt idx="65">
                  <c:v>431345</c:v>
                </c:pt>
                <c:pt idx="66">
                  <c:v>438173</c:v>
                </c:pt>
                <c:pt idx="67">
                  <c:v>434503</c:v>
                </c:pt>
                <c:pt idx="68">
                  <c:v>432923</c:v>
                </c:pt>
                <c:pt idx="69">
                  <c:v>443758</c:v>
                </c:pt>
                <c:pt idx="70">
                  <c:v>444177</c:v>
                </c:pt>
                <c:pt idx="71">
                  <c:v>434704</c:v>
                </c:pt>
                <c:pt idx="72">
                  <c:v>436493</c:v>
                </c:pt>
                <c:pt idx="73">
                  <c:v>437902</c:v>
                </c:pt>
                <c:pt idx="74">
                  <c:v>448779</c:v>
                </c:pt>
                <c:pt idx="75">
                  <c:v>453866</c:v>
                </c:pt>
                <c:pt idx="76">
                  <c:v>448674</c:v>
                </c:pt>
                <c:pt idx="77">
                  <c:v>450336</c:v>
                </c:pt>
                <c:pt idx="78">
                  <c:v>458181</c:v>
                </c:pt>
                <c:pt idx="79">
                  <c:v>459152</c:v>
                </c:pt>
                <c:pt idx="80">
                  <c:v>459764</c:v>
                </c:pt>
                <c:pt idx="81">
                  <c:v>468030</c:v>
                </c:pt>
                <c:pt idx="82">
                  <c:v>468389</c:v>
                </c:pt>
                <c:pt idx="83">
                  <c:v>474530</c:v>
                </c:pt>
                <c:pt idx="84">
                  <c:v>484299</c:v>
                </c:pt>
                <c:pt idx="85">
                  <c:v>481854</c:v>
                </c:pt>
                <c:pt idx="86">
                  <c:v>485041</c:v>
                </c:pt>
                <c:pt idx="87">
                  <c:v>488998</c:v>
                </c:pt>
                <c:pt idx="88">
                  <c:v>488317</c:v>
                </c:pt>
                <c:pt idx="89">
                  <c:v>501359</c:v>
                </c:pt>
                <c:pt idx="90">
                  <c:v>503742</c:v>
                </c:pt>
                <c:pt idx="91">
                  <c:v>503911</c:v>
                </c:pt>
                <c:pt idx="92">
                  <c:v>507320</c:v>
                </c:pt>
                <c:pt idx="93">
                  <c:v>514516</c:v>
                </c:pt>
                <c:pt idx="94">
                  <c:v>515340</c:v>
                </c:pt>
                <c:pt idx="95">
                  <c:v>517872</c:v>
                </c:pt>
                <c:pt idx="96">
                  <c:v>526089</c:v>
                </c:pt>
                <c:pt idx="97">
                  <c:v>527167</c:v>
                </c:pt>
                <c:pt idx="98">
                  <c:v>528159</c:v>
                </c:pt>
                <c:pt idx="99">
                  <c:v>531009</c:v>
                </c:pt>
                <c:pt idx="100">
                  <c:v>524617</c:v>
                </c:pt>
                <c:pt idx="101">
                  <c:v>532884</c:v>
                </c:pt>
                <c:pt idx="102">
                  <c:v>539495</c:v>
                </c:pt>
                <c:pt idx="103">
                  <c:v>529854</c:v>
                </c:pt>
                <c:pt idx="104">
                  <c:v>522787</c:v>
                </c:pt>
                <c:pt idx="105">
                  <c:v>525882</c:v>
                </c:pt>
                <c:pt idx="106">
                  <c:v>521803</c:v>
                </c:pt>
                <c:pt idx="107">
                  <c:v>531135</c:v>
                </c:pt>
                <c:pt idx="108">
                  <c:v>533279</c:v>
                </c:pt>
                <c:pt idx="109">
                  <c:v>528807</c:v>
                </c:pt>
                <c:pt idx="110">
                  <c:v>533257</c:v>
                </c:pt>
                <c:pt idx="111">
                  <c:v>535604</c:v>
                </c:pt>
                <c:pt idx="112">
                  <c:v>533168</c:v>
                </c:pt>
                <c:pt idx="113">
                  <c:v>530843</c:v>
                </c:pt>
                <c:pt idx="114">
                  <c:v>532757</c:v>
                </c:pt>
                <c:pt idx="115">
                  <c:v>531959</c:v>
                </c:pt>
                <c:pt idx="116">
                  <c:v>529028</c:v>
                </c:pt>
                <c:pt idx="117">
                  <c:v>528153</c:v>
                </c:pt>
                <c:pt idx="118">
                  <c:v>526315</c:v>
                </c:pt>
                <c:pt idx="119">
                  <c:v>531112</c:v>
                </c:pt>
                <c:pt idx="120">
                  <c:v>531173</c:v>
                </c:pt>
                <c:pt idx="121">
                  <c:v>526416</c:v>
                </c:pt>
                <c:pt idx="122">
                  <c:v>525857</c:v>
                </c:pt>
                <c:pt idx="123">
                  <c:v>523976</c:v>
                </c:pt>
                <c:pt idx="124">
                  <c:v>522840</c:v>
                </c:pt>
                <c:pt idx="125">
                  <c:v>516815</c:v>
                </c:pt>
                <c:pt idx="126">
                  <c:v>518355</c:v>
                </c:pt>
                <c:pt idx="127">
                  <c:v>518241</c:v>
                </c:pt>
                <c:pt idx="128">
                  <c:v>514777</c:v>
                </c:pt>
                <c:pt idx="129">
                  <c:v>518057</c:v>
                </c:pt>
                <c:pt idx="130">
                  <c:v>515832</c:v>
                </c:pt>
                <c:pt idx="131">
                  <c:v>515149</c:v>
                </c:pt>
                <c:pt idx="132">
                  <c:v>524556</c:v>
                </c:pt>
                <c:pt idx="133">
                  <c:v>523055</c:v>
                </c:pt>
                <c:pt idx="134">
                  <c:v>525873</c:v>
                </c:pt>
                <c:pt idx="135">
                  <c:v>530263</c:v>
                </c:pt>
                <c:pt idx="136">
                  <c:v>530734</c:v>
                </c:pt>
                <c:pt idx="137">
                  <c:v>530751</c:v>
                </c:pt>
                <c:pt idx="138">
                  <c:v>535028</c:v>
                </c:pt>
                <c:pt idx="139">
                  <c:v>533183</c:v>
                </c:pt>
                <c:pt idx="140">
                  <c:v>541522</c:v>
                </c:pt>
                <c:pt idx="141">
                  <c:v>538152</c:v>
                </c:pt>
                <c:pt idx="142">
                  <c:v>536678</c:v>
                </c:pt>
                <c:pt idx="143">
                  <c:v>540416</c:v>
                </c:pt>
                <c:pt idx="144">
                  <c:v>550453</c:v>
                </c:pt>
                <c:pt idx="145">
                  <c:v>552142</c:v>
                </c:pt>
                <c:pt idx="146">
                  <c:v>553503</c:v>
                </c:pt>
                <c:pt idx="147">
                  <c:v>560214</c:v>
                </c:pt>
                <c:pt idx="148">
                  <c:v>554475</c:v>
                </c:pt>
                <c:pt idx="149">
                  <c:v>556608</c:v>
                </c:pt>
                <c:pt idx="150">
                  <c:v>564895</c:v>
                </c:pt>
                <c:pt idx="151">
                  <c:v>568289</c:v>
                </c:pt>
                <c:pt idx="152">
                  <c:v>579580</c:v>
                </c:pt>
                <c:pt idx="153">
                  <c:v>582908</c:v>
                </c:pt>
                <c:pt idx="154">
                  <c:v>589637</c:v>
                </c:pt>
                <c:pt idx="155">
                  <c:v>596537</c:v>
                </c:pt>
                <c:pt idx="156">
                  <c:v>607270</c:v>
                </c:pt>
                <c:pt idx="157">
                  <c:v>609948</c:v>
                </c:pt>
                <c:pt idx="158">
                  <c:v>611082</c:v>
                </c:pt>
                <c:pt idx="159">
                  <c:v>614104</c:v>
                </c:pt>
                <c:pt idx="160">
                  <c:v>607873</c:v>
                </c:pt>
                <c:pt idx="161">
                  <c:v>615246</c:v>
                </c:pt>
                <c:pt idx="162">
                  <c:v>624057</c:v>
                </c:pt>
                <c:pt idx="163">
                  <c:v>624057</c:v>
                </c:pt>
                <c:pt idx="164">
                  <c:v>630478</c:v>
                </c:pt>
                <c:pt idx="165">
                  <c:v>635023</c:v>
                </c:pt>
                <c:pt idx="166">
                  <c:v>634699</c:v>
                </c:pt>
                <c:pt idx="167">
                  <c:v>642830</c:v>
                </c:pt>
                <c:pt idx="168">
                  <c:v>650598</c:v>
                </c:pt>
                <c:pt idx="169">
                  <c:v>654865</c:v>
                </c:pt>
                <c:pt idx="170">
                  <c:v>665887</c:v>
                </c:pt>
                <c:pt idx="171">
                  <c:v>675658</c:v>
                </c:pt>
                <c:pt idx="172">
                  <c:v>676164</c:v>
                </c:pt>
                <c:pt idx="173">
                  <c:v>685907</c:v>
                </c:pt>
                <c:pt idx="174">
                  <c:v>693003</c:v>
                </c:pt>
                <c:pt idx="175">
                  <c:v>702841</c:v>
                </c:pt>
                <c:pt idx="176">
                  <c:v>713255</c:v>
                </c:pt>
                <c:pt idx="177">
                  <c:v>722013</c:v>
                </c:pt>
                <c:pt idx="178">
                  <c:v>723856</c:v>
                </c:pt>
                <c:pt idx="179">
                  <c:v>735975</c:v>
                </c:pt>
                <c:pt idx="180">
                  <c:v>747238</c:v>
                </c:pt>
                <c:pt idx="181">
                  <c:v>747623</c:v>
                </c:pt>
                <c:pt idx="182">
                  <c:v>753780</c:v>
                </c:pt>
                <c:pt idx="183">
                  <c:v>762863</c:v>
                </c:pt>
                <c:pt idx="184">
                  <c:v>764331</c:v>
                </c:pt>
                <c:pt idx="185">
                  <c:v>768850</c:v>
                </c:pt>
                <c:pt idx="186">
                  <c:v>783122</c:v>
                </c:pt>
                <c:pt idx="187">
                  <c:v>787308</c:v>
                </c:pt>
                <c:pt idx="188">
                  <c:v>781632</c:v>
                </c:pt>
                <c:pt idx="189">
                  <c:v>790403</c:v>
                </c:pt>
                <c:pt idx="190">
                  <c:v>785134</c:v>
                </c:pt>
                <c:pt idx="191">
                  <c:v>784198</c:v>
                </c:pt>
                <c:pt idx="192">
                  <c:v>783685</c:v>
                </c:pt>
                <c:pt idx="193">
                  <c:v>779336</c:v>
                </c:pt>
                <c:pt idx="194">
                  <c:v>771202</c:v>
                </c:pt>
                <c:pt idx="195">
                  <c:v>773022</c:v>
                </c:pt>
                <c:pt idx="196">
                  <c:v>766374</c:v>
                </c:pt>
                <c:pt idx="197">
                  <c:v>762003</c:v>
                </c:pt>
                <c:pt idx="198">
                  <c:v>764999</c:v>
                </c:pt>
                <c:pt idx="199">
                  <c:v>763634</c:v>
                </c:pt>
                <c:pt idx="200">
                  <c:v>769292</c:v>
                </c:pt>
                <c:pt idx="201">
                  <c:v>768351</c:v>
                </c:pt>
                <c:pt idx="202">
                  <c:v>767741</c:v>
                </c:pt>
                <c:pt idx="203">
                  <c:v>769588</c:v>
                </c:pt>
                <c:pt idx="204">
                  <c:v>773235</c:v>
                </c:pt>
                <c:pt idx="205">
                  <c:v>774428</c:v>
                </c:pt>
                <c:pt idx="206">
                  <c:v>772418</c:v>
                </c:pt>
                <c:pt idx="207">
                  <c:v>775929</c:v>
                </c:pt>
                <c:pt idx="208">
                  <c:v>771309</c:v>
                </c:pt>
                <c:pt idx="209">
                  <c:v>771913</c:v>
                </c:pt>
                <c:pt idx="210">
                  <c:v>775872</c:v>
                </c:pt>
                <c:pt idx="211">
                  <c:v>779371</c:v>
                </c:pt>
                <c:pt idx="212">
                  <c:v>780782</c:v>
                </c:pt>
                <c:pt idx="213">
                  <c:v>781019</c:v>
                </c:pt>
                <c:pt idx="214">
                  <c:v>782140</c:v>
                </c:pt>
                <c:pt idx="215">
                  <c:v>790789</c:v>
                </c:pt>
                <c:pt idx="216">
                  <c:v>796988</c:v>
                </c:pt>
                <c:pt idx="217">
                  <c:v>798938</c:v>
                </c:pt>
                <c:pt idx="218">
                  <c:v>808225</c:v>
                </c:pt>
                <c:pt idx="219">
                  <c:v>814143</c:v>
                </c:pt>
                <c:pt idx="220">
                  <c:v>806711</c:v>
                </c:pt>
                <c:pt idx="221">
                  <c:v>815932</c:v>
                </c:pt>
                <c:pt idx="222">
                  <c:v>820386</c:v>
                </c:pt>
                <c:pt idx="223">
                  <c:v>817079</c:v>
                </c:pt>
                <c:pt idx="224">
                  <c:v>815908</c:v>
                </c:pt>
                <c:pt idx="225">
                  <c:v>818334</c:v>
                </c:pt>
                <c:pt idx="226">
                  <c:v>815361</c:v>
                </c:pt>
                <c:pt idx="227">
                  <c:v>818068</c:v>
                </c:pt>
                <c:pt idx="228">
                  <c:v>816641</c:v>
                </c:pt>
                <c:pt idx="229">
                  <c:v>813745</c:v>
                </c:pt>
                <c:pt idx="230">
                  <c:v>820736</c:v>
                </c:pt>
                <c:pt idx="231">
                  <c:v>818269</c:v>
                </c:pt>
                <c:pt idx="232">
                  <c:v>813898</c:v>
                </c:pt>
                <c:pt idx="233">
                  <c:v>814509</c:v>
                </c:pt>
                <c:pt idx="234">
                  <c:v>815753</c:v>
                </c:pt>
                <c:pt idx="235">
                  <c:v>814415</c:v>
                </c:pt>
                <c:pt idx="236">
                  <c:v>819064</c:v>
                </c:pt>
                <c:pt idx="237">
                  <c:v>815837</c:v>
                </c:pt>
                <c:pt idx="238">
                  <c:v>814592</c:v>
                </c:pt>
                <c:pt idx="239">
                  <c:v>817882</c:v>
                </c:pt>
                <c:pt idx="240">
                  <c:v>816674</c:v>
                </c:pt>
                <c:pt idx="241">
                  <c:v>815922</c:v>
                </c:pt>
                <c:pt idx="242">
                  <c:v>818016</c:v>
                </c:pt>
                <c:pt idx="243">
                  <c:v>813572</c:v>
                </c:pt>
                <c:pt idx="244">
                  <c:v>810287</c:v>
                </c:pt>
                <c:pt idx="245">
                  <c:v>811982</c:v>
                </c:pt>
                <c:pt idx="246">
                  <c:v>810212</c:v>
                </c:pt>
                <c:pt idx="247">
                  <c:v>813805</c:v>
                </c:pt>
                <c:pt idx="248">
                  <c:v>816743</c:v>
                </c:pt>
                <c:pt idx="249">
                  <c:v>817122</c:v>
                </c:pt>
                <c:pt idx="250">
                  <c:v>817212</c:v>
                </c:pt>
                <c:pt idx="251">
                  <c:v>817141</c:v>
                </c:pt>
                <c:pt idx="252">
                  <c:v>819258</c:v>
                </c:pt>
                <c:pt idx="253">
                  <c:v>821748</c:v>
                </c:pt>
                <c:pt idx="254">
                  <c:v>826808</c:v>
                </c:pt>
                <c:pt idx="255">
                  <c:v>826820</c:v>
                </c:pt>
                <c:pt idx="256">
                  <c:v>825259</c:v>
                </c:pt>
                <c:pt idx="257">
                  <c:v>825003</c:v>
                </c:pt>
                <c:pt idx="258">
                  <c:v>830318</c:v>
                </c:pt>
                <c:pt idx="259">
                  <c:v>828925</c:v>
                </c:pt>
                <c:pt idx="260">
                  <c:v>838378</c:v>
                </c:pt>
                <c:pt idx="261">
                  <c:v>836924</c:v>
                </c:pt>
                <c:pt idx="262">
                  <c:v>846601</c:v>
                </c:pt>
                <c:pt idx="263">
                  <c:v>848853</c:v>
                </c:pt>
                <c:pt idx="264">
                  <c:v>851439</c:v>
                </c:pt>
                <c:pt idx="265">
                  <c:v>853856</c:v>
                </c:pt>
                <c:pt idx="266">
                  <c:v>859231</c:v>
                </c:pt>
                <c:pt idx="267">
                  <c:v>862356</c:v>
                </c:pt>
                <c:pt idx="268">
                  <c:v>857337</c:v>
                </c:pt>
                <c:pt idx="269">
                  <c:v>860934</c:v>
                </c:pt>
                <c:pt idx="270">
                  <c:v>866547</c:v>
                </c:pt>
                <c:pt idx="271">
                  <c:v>870364</c:v>
                </c:pt>
                <c:pt idx="272">
                  <c:v>874082</c:v>
                </c:pt>
                <c:pt idx="273">
                  <c:v>880858</c:v>
                </c:pt>
                <c:pt idx="274">
                  <c:v>883377</c:v>
                </c:pt>
                <c:pt idx="275">
                  <c:v>885879</c:v>
                </c:pt>
                <c:pt idx="276">
                  <c:v>890786</c:v>
                </c:pt>
                <c:pt idx="277">
                  <c:v>898310</c:v>
                </c:pt>
                <c:pt idx="278">
                  <c:v>902753</c:v>
                </c:pt>
                <c:pt idx="279">
                  <c:v>906204</c:v>
                </c:pt>
              </c:numCache>
            </c:numRef>
          </c:val>
          <c:smooth val="0"/>
          <c:extLst>
            <c:ext xmlns:c16="http://schemas.microsoft.com/office/drawing/2014/chart" uri="{C3380CC4-5D6E-409C-BE32-E72D297353CC}">
              <c16:uniqueId val="{00000000-7ED8-4832-8046-780F0BEF3DFF}"/>
            </c:ext>
          </c:extLst>
        </c:ser>
        <c:dLbls>
          <c:showLegendKey val="0"/>
          <c:showVal val="0"/>
          <c:showCatName val="0"/>
          <c:showSerName val="0"/>
          <c:showPercent val="0"/>
          <c:showBubbleSize val="0"/>
        </c:dLbls>
        <c:smooth val="0"/>
        <c:axId val="232420480"/>
        <c:axId val="232422016"/>
      </c:lineChart>
      <c:dateAx>
        <c:axId val="232420480"/>
        <c:scaling>
          <c:orientation val="minMax"/>
        </c:scaling>
        <c:delete val="0"/>
        <c:axPos val="b"/>
        <c:numFmt formatCode="mmm\-yy" sourceLinked="1"/>
        <c:majorTickMark val="out"/>
        <c:minorTickMark val="none"/>
        <c:tickLblPos val="nextTo"/>
        <c:crossAx val="232422016"/>
        <c:crosses val="autoZero"/>
        <c:auto val="1"/>
        <c:lblOffset val="100"/>
        <c:baseTimeUnit val="months"/>
      </c:dateAx>
      <c:valAx>
        <c:axId val="232422016"/>
        <c:scaling>
          <c:orientation val="minMax"/>
        </c:scaling>
        <c:delete val="0"/>
        <c:axPos val="l"/>
        <c:majorGridlines/>
        <c:numFmt formatCode="General" sourceLinked="1"/>
        <c:majorTickMark val="out"/>
        <c:minorTickMark val="none"/>
        <c:tickLblPos val="nextTo"/>
        <c:crossAx val="2324204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numRef>
              <c:f>'ct.q.en.ec.mlm.p.b'!$A$44:$A$137</c:f>
              <c:numCache>
                <c:formatCode>mmm\-yy</c:formatCode>
                <c:ptCount val="94"/>
                <c:pt idx="0">
                  <c:v>34029</c:v>
                </c:pt>
                <c:pt idx="1">
                  <c:v>34121</c:v>
                </c:pt>
                <c:pt idx="2">
                  <c:v>34213</c:v>
                </c:pt>
                <c:pt idx="3">
                  <c:v>34304</c:v>
                </c:pt>
                <c:pt idx="4">
                  <c:v>34394</c:v>
                </c:pt>
                <c:pt idx="5">
                  <c:v>34486</c:v>
                </c:pt>
                <c:pt idx="6">
                  <c:v>34578</c:v>
                </c:pt>
                <c:pt idx="7">
                  <c:v>34669</c:v>
                </c:pt>
                <c:pt idx="8">
                  <c:v>34759</c:v>
                </c:pt>
                <c:pt idx="9">
                  <c:v>34851</c:v>
                </c:pt>
                <c:pt idx="10">
                  <c:v>34943</c:v>
                </c:pt>
                <c:pt idx="11">
                  <c:v>35034</c:v>
                </c:pt>
                <c:pt idx="12">
                  <c:v>35125</c:v>
                </c:pt>
                <c:pt idx="13">
                  <c:v>35217</c:v>
                </c:pt>
                <c:pt idx="14">
                  <c:v>35309</c:v>
                </c:pt>
                <c:pt idx="15">
                  <c:v>35400</c:v>
                </c:pt>
                <c:pt idx="16">
                  <c:v>35490</c:v>
                </c:pt>
                <c:pt idx="17">
                  <c:v>35582</c:v>
                </c:pt>
                <c:pt idx="18">
                  <c:v>35674</c:v>
                </c:pt>
                <c:pt idx="19">
                  <c:v>35765</c:v>
                </c:pt>
                <c:pt idx="20">
                  <c:v>35855</c:v>
                </c:pt>
                <c:pt idx="21">
                  <c:v>35947</c:v>
                </c:pt>
                <c:pt idx="22">
                  <c:v>36039</c:v>
                </c:pt>
                <c:pt idx="23">
                  <c:v>36130</c:v>
                </c:pt>
                <c:pt idx="24">
                  <c:v>36220</c:v>
                </c:pt>
                <c:pt idx="25">
                  <c:v>36312</c:v>
                </c:pt>
                <c:pt idx="26">
                  <c:v>36404</c:v>
                </c:pt>
                <c:pt idx="27">
                  <c:v>36495</c:v>
                </c:pt>
                <c:pt idx="28">
                  <c:v>36586</c:v>
                </c:pt>
                <c:pt idx="29">
                  <c:v>36678</c:v>
                </c:pt>
                <c:pt idx="30">
                  <c:v>36770</c:v>
                </c:pt>
                <c:pt idx="31">
                  <c:v>36861</c:v>
                </c:pt>
                <c:pt idx="32">
                  <c:v>36951</c:v>
                </c:pt>
                <c:pt idx="33">
                  <c:v>37043</c:v>
                </c:pt>
                <c:pt idx="34">
                  <c:v>37135</c:v>
                </c:pt>
                <c:pt idx="35">
                  <c:v>37226</c:v>
                </c:pt>
                <c:pt idx="36">
                  <c:v>37316</c:v>
                </c:pt>
                <c:pt idx="37">
                  <c:v>37408</c:v>
                </c:pt>
                <c:pt idx="38">
                  <c:v>37500</c:v>
                </c:pt>
                <c:pt idx="39">
                  <c:v>37591</c:v>
                </c:pt>
                <c:pt idx="40">
                  <c:v>37681</c:v>
                </c:pt>
                <c:pt idx="41">
                  <c:v>37773</c:v>
                </c:pt>
                <c:pt idx="42">
                  <c:v>37865</c:v>
                </c:pt>
                <c:pt idx="43">
                  <c:v>37956</c:v>
                </c:pt>
                <c:pt idx="44">
                  <c:v>38047</c:v>
                </c:pt>
                <c:pt idx="45">
                  <c:v>38139</c:v>
                </c:pt>
                <c:pt idx="46">
                  <c:v>38231</c:v>
                </c:pt>
                <c:pt idx="47">
                  <c:v>38322</c:v>
                </c:pt>
                <c:pt idx="48">
                  <c:v>38412</c:v>
                </c:pt>
                <c:pt idx="49">
                  <c:v>38504</c:v>
                </c:pt>
                <c:pt idx="50">
                  <c:v>38596</c:v>
                </c:pt>
                <c:pt idx="51">
                  <c:v>38687</c:v>
                </c:pt>
                <c:pt idx="52">
                  <c:v>38777</c:v>
                </c:pt>
                <c:pt idx="53">
                  <c:v>38869</c:v>
                </c:pt>
                <c:pt idx="54">
                  <c:v>38961</c:v>
                </c:pt>
                <c:pt idx="55">
                  <c:v>39052</c:v>
                </c:pt>
                <c:pt idx="56">
                  <c:v>39142</c:v>
                </c:pt>
                <c:pt idx="57">
                  <c:v>39234</c:v>
                </c:pt>
                <c:pt idx="58">
                  <c:v>39326</c:v>
                </c:pt>
                <c:pt idx="59">
                  <c:v>39417</c:v>
                </c:pt>
                <c:pt idx="60">
                  <c:v>39508</c:v>
                </c:pt>
                <c:pt idx="61">
                  <c:v>39600</c:v>
                </c:pt>
                <c:pt idx="62">
                  <c:v>39692</c:v>
                </c:pt>
                <c:pt idx="63">
                  <c:v>39783</c:v>
                </c:pt>
                <c:pt idx="64">
                  <c:v>39873</c:v>
                </c:pt>
                <c:pt idx="65">
                  <c:v>39965</c:v>
                </c:pt>
                <c:pt idx="66">
                  <c:v>40057</c:v>
                </c:pt>
                <c:pt idx="67">
                  <c:v>40148</c:v>
                </c:pt>
                <c:pt idx="68">
                  <c:v>40238</c:v>
                </c:pt>
                <c:pt idx="69">
                  <c:v>40330</c:v>
                </c:pt>
                <c:pt idx="70">
                  <c:v>40422</c:v>
                </c:pt>
                <c:pt idx="71">
                  <c:v>40513</c:v>
                </c:pt>
                <c:pt idx="72">
                  <c:v>40603</c:v>
                </c:pt>
                <c:pt idx="73">
                  <c:v>40695</c:v>
                </c:pt>
                <c:pt idx="74">
                  <c:v>40787</c:v>
                </c:pt>
                <c:pt idx="75">
                  <c:v>40878</c:v>
                </c:pt>
                <c:pt idx="76">
                  <c:v>40969</c:v>
                </c:pt>
                <c:pt idx="77">
                  <c:v>41061</c:v>
                </c:pt>
                <c:pt idx="78">
                  <c:v>41153</c:v>
                </c:pt>
                <c:pt idx="79">
                  <c:v>41244</c:v>
                </c:pt>
                <c:pt idx="80">
                  <c:v>41334</c:v>
                </c:pt>
                <c:pt idx="81">
                  <c:v>41426</c:v>
                </c:pt>
                <c:pt idx="82">
                  <c:v>41518</c:v>
                </c:pt>
                <c:pt idx="83">
                  <c:v>41609</c:v>
                </c:pt>
                <c:pt idx="84">
                  <c:v>41699</c:v>
                </c:pt>
                <c:pt idx="85">
                  <c:v>41791</c:v>
                </c:pt>
                <c:pt idx="86">
                  <c:v>41883</c:v>
                </c:pt>
                <c:pt idx="87">
                  <c:v>41974</c:v>
                </c:pt>
                <c:pt idx="88">
                  <c:v>42064</c:v>
                </c:pt>
                <c:pt idx="89">
                  <c:v>42156</c:v>
                </c:pt>
                <c:pt idx="90">
                  <c:v>42248</c:v>
                </c:pt>
                <c:pt idx="91">
                  <c:v>42339</c:v>
                </c:pt>
                <c:pt idx="92">
                  <c:v>42430</c:v>
                </c:pt>
                <c:pt idx="93">
                  <c:v>42522</c:v>
                </c:pt>
              </c:numCache>
            </c:numRef>
          </c:cat>
          <c:val>
            <c:numRef>
              <c:f>'ct.q.en.ec.mlm.p.b'!$B$44:$B$137</c:f>
              <c:numCache>
                <c:formatCode>General</c:formatCode>
                <c:ptCount val="94"/>
                <c:pt idx="0">
                  <c:v>11</c:v>
                </c:pt>
                <c:pt idx="1">
                  <c:v>10.54</c:v>
                </c:pt>
                <c:pt idx="2">
                  <c:v>9.3000000000000007</c:v>
                </c:pt>
                <c:pt idx="3">
                  <c:v>8.93</c:v>
                </c:pt>
                <c:pt idx="4">
                  <c:v>8.2799999999999994</c:v>
                </c:pt>
                <c:pt idx="5">
                  <c:v>8</c:v>
                </c:pt>
                <c:pt idx="6">
                  <c:v>7.78</c:v>
                </c:pt>
                <c:pt idx="7">
                  <c:v>7.94</c:v>
                </c:pt>
                <c:pt idx="8">
                  <c:v>8.0299999999999994</c:v>
                </c:pt>
                <c:pt idx="9">
                  <c:v>8.66</c:v>
                </c:pt>
                <c:pt idx="10">
                  <c:v>8.3699999999999992</c:v>
                </c:pt>
                <c:pt idx="11">
                  <c:v>8.2200000000000006</c:v>
                </c:pt>
                <c:pt idx="12">
                  <c:v>7.75</c:v>
                </c:pt>
                <c:pt idx="13">
                  <c:v>7.43</c:v>
                </c:pt>
                <c:pt idx="14">
                  <c:v>7.14</c:v>
                </c:pt>
                <c:pt idx="15">
                  <c:v>6.84</c:v>
                </c:pt>
                <c:pt idx="16">
                  <c:v>6.24</c:v>
                </c:pt>
                <c:pt idx="17">
                  <c:v>5.78</c:v>
                </c:pt>
                <c:pt idx="18">
                  <c:v>5.44</c:v>
                </c:pt>
                <c:pt idx="19">
                  <c:v>4.95</c:v>
                </c:pt>
                <c:pt idx="20">
                  <c:v>5.0199999999999996</c:v>
                </c:pt>
                <c:pt idx="21">
                  <c:v>4.91</c:v>
                </c:pt>
                <c:pt idx="22">
                  <c:v>4.6900000000000004</c:v>
                </c:pt>
                <c:pt idx="23">
                  <c:v>4.55</c:v>
                </c:pt>
                <c:pt idx="24">
                  <c:v>4.41</c:v>
                </c:pt>
                <c:pt idx="25">
                  <c:v>3.93</c:v>
                </c:pt>
                <c:pt idx="26">
                  <c:v>3.88</c:v>
                </c:pt>
                <c:pt idx="27">
                  <c:v>4.4400000000000004</c:v>
                </c:pt>
                <c:pt idx="28">
                  <c:v>4.74</c:v>
                </c:pt>
                <c:pt idx="29">
                  <c:v>5.31</c:v>
                </c:pt>
                <c:pt idx="30">
                  <c:v>5.61</c:v>
                </c:pt>
                <c:pt idx="31">
                  <c:v>5.91</c:v>
                </c:pt>
                <c:pt idx="32">
                  <c:v>5.83</c:v>
                </c:pt>
                <c:pt idx="33">
                  <c:v>5.88</c:v>
                </c:pt>
                <c:pt idx="34">
                  <c:v>5.63</c:v>
                </c:pt>
                <c:pt idx="35">
                  <c:v>5.29</c:v>
                </c:pt>
                <c:pt idx="36">
                  <c:v>5.12</c:v>
                </c:pt>
                <c:pt idx="37">
                  <c:v>5.48</c:v>
                </c:pt>
                <c:pt idx="38">
                  <c:v>4.99</c:v>
                </c:pt>
                <c:pt idx="39">
                  <c:v>4.7699999999999996</c:v>
                </c:pt>
                <c:pt idx="40">
                  <c:v>4.6500000000000004</c:v>
                </c:pt>
                <c:pt idx="41">
                  <c:v>4.55</c:v>
                </c:pt>
                <c:pt idx="42">
                  <c:v>4.1900000000000004</c:v>
                </c:pt>
                <c:pt idx="43">
                  <c:v>4.0999999999999996</c:v>
                </c:pt>
                <c:pt idx="44">
                  <c:v>3.42</c:v>
                </c:pt>
                <c:pt idx="45">
                  <c:v>3.45</c:v>
                </c:pt>
                <c:pt idx="46">
                  <c:v>3.45</c:v>
                </c:pt>
                <c:pt idx="47">
                  <c:v>3.46</c:v>
                </c:pt>
                <c:pt idx="48">
                  <c:v>3.39</c:v>
                </c:pt>
                <c:pt idx="49">
                  <c:v>3.31</c:v>
                </c:pt>
                <c:pt idx="50">
                  <c:v>3.05</c:v>
                </c:pt>
                <c:pt idx="51">
                  <c:v>3.03</c:v>
                </c:pt>
                <c:pt idx="52">
                  <c:v>3.31</c:v>
                </c:pt>
                <c:pt idx="53">
                  <c:v>3.67</c:v>
                </c:pt>
                <c:pt idx="54">
                  <c:v>3.94</c:v>
                </c:pt>
                <c:pt idx="55">
                  <c:v>4.32</c:v>
                </c:pt>
                <c:pt idx="56">
                  <c:v>4.5199999999999996</c:v>
                </c:pt>
                <c:pt idx="57">
                  <c:v>4.68</c:v>
                </c:pt>
                <c:pt idx="58">
                  <c:v>4.96</c:v>
                </c:pt>
                <c:pt idx="59">
                  <c:v>5.09</c:v>
                </c:pt>
                <c:pt idx="60">
                  <c:v>4.9000000000000004</c:v>
                </c:pt>
                <c:pt idx="61">
                  <c:v>5.03</c:v>
                </c:pt>
                <c:pt idx="62">
                  <c:v>5.5</c:v>
                </c:pt>
                <c:pt idx="63">
                  <c:v>5.48</c:v>
                </c:pt>
                <c:pt idx="64">
                  <c:v>3.94</c:v>
                </c:pt>
                <c:pt idx="65">
                  <c:v>3.06</c:v>
                </c:pt>
                <c:pt idx="66">
                  <c:v>3.04</c:v>
                </c:pt>
                <c:pt idx="67">
                  <c:v>2.87</c:v>
                </c:pt>
                <c:pt idx="68">
                  <c:v>2.82</c:v>
                </c:pt>
                <c:pt idx="69">
                  <c:v>2.9</c:v>
                </c:pt>
                <c:pt idx="70">
                  <c:v>2.69</c:v>
                </c:pt>
                <c:pt idx="71">
                  <c:v>3.04</c:v>
                </c:pt>
                <c:pt idx="72">
                  <c:v>3.11</c:v>
                </c:pt>
                <c:pt idx="73">
                  <c:v>3.33</c:v>
                </c:pt>
                <c:pt idx="74">
                  <c:v>3.6</c:v>
                </c:pt>
                <c:pt idx="75">
                  <c:v>3.64</c:v>
                </c:pt>
                <c:pt idx="76">
                  <c:v>3.66</c:v>
                </c:pt>
                <c:pt idx="77">
                  <c:v>3.26</c:v>
                </c:pt>
                <c:pt idx="78">
                  <c:v>3.12</c:v>
                </c:pt>
                <c:pt idx="79">
                  <c:v>2.99</c:v>
                </c:pt>
                <c:pt idx="80">
                  <c:v>2.82</c:v>
                </c:pt>
                <c:pt idx="81">
                  <c:v>2.77</c:v>
                </c:pt>
                <c:pt idx="82">
                  <c:v>2.58</c:v>
                </c:pt>
                <c:pt idx="83">
                  <c:v>2.71</c:v>
                </c:pt>
                <c:pt idx="84">
                  <c:v>2.69</c:v>
                </c:pt>
                <c:pt idx="85">
                  <c:v>2.7</c:v>
                </c:pt>
                <c:pt idx="86">
                  <c:v>2.44</c:v>
                </c:pt>
                <c:pt idx="87">
                  <c:v>2.2799999999999998</c:v>
                </c:pt>
                <c:pt idx="88">
                  <c:v>2.04</c:v>
                </c:pt>
                <c:pt idx="89">
                  <c:v>2.0299999999999998</c:v>
                </c:pt>
                <c:pt idx="90">
                  <c:v>1.86</c:v>
                </c:pt>
                <c:pt idx="91">
                  <c:v>1.84</c:v>
                </c:pt>
                <c:pt idx="92">
                  <c:v>1.86</c:v>
                </c:pt>
                <c:pt idx="93">
                  <c:v>1.89</c:v>
                </c:pt>
              </c:numCache>
            </c:numRef>
          </c:val>
          <c:smooth val="0"/>
          <c:extLst>
            <c:ext xmlns:c16="http://schemas.microsoft.com/office/drawing/2014/chart" uri="{C3380CC4-5D6E-409C-BE32-E72D297353CC}">
              <c16:uniqueId val="{00000000-0E80-4EBB-AAFF-3DA47285D4E1}"/>
            </c:ext>
          </c:extLst>
        </c:ser>
        <c:dLbls>
          <c:showLegendKey val="0"/>
          <c:showVal val="0"/>
          <c:showCatName val="0"/>
          <c:showSerName val="0"/>
          <c:showPercent val="0"/>
          <c:showBubbleSize val="0"/>
        </c:dLbls>
        <c:smooth val="0"/>
        <c:axId val="232442880"/>
        <c:axId val="232452864"/>
      </c:lineChart>
      <c:dateAx>
        <c:axId val="232442880"/>
        <c:scaling>
          <c:orientation val="minMax"/>
        </c:scaling>
        <c:delete val="0"/>
        <c:axPos val="b"/>
        <c:numFmt formatCode="mmm\-yy" sourceLinked="1"/>
        <c:majorTickMark val="out"/>
        <c:minorTickMark val="none"/>
        <c:tickLblPos val="nextTo"/>
        <c:crossAx val="232452864"/>
        <c:crosses val="autoZero"/>
        <c:auto val="1"/>
        <c:lblOffset val="100"/>
        <c:baseTimeUnit val="months"/>
      </c:dateAx>
      <c:valAx>
        <c:axId val="232452864"/>
        <c:scaling>
          <c:orientation val="minMax"/>
        </c:scaling>
        <c:delete val="0"/>
        <c:axPos val="l"/>
        <c:majorGridlines/>
        <c:numFmt formatCode="General" sourceLinked="1"/>
        <c:majorTickMark val="out"/>
        <c:minorTickMark val="none"/>
        <c:tickLblPos val="nextTo"/>
        <c:crossAx val="2324428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41B93-945D-485B-81DC-6FFB02AA8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17680</Words>
  <Characters>97241</Characters>
  <Application>Microsoft Office Word</Application>
  <DocSecurity>0</DocSecurity>
  <Lines>810</Lines>
  <Paragraphs>229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SES</dc:creator>
  <cp:lastModifiedBy>François</cp:lastModifiedBy>
  <cp:revision>2</cp:revision>
  <dcterms:created xsi:type="dcterms:W3CDTF">2016-12-17T08:37:00Z</dcterms:created>
  <dcterms:modified xsi:type="dcterms:W3CDTF">2016-12-17T08:37:00Z</dcterms:modified>
</cp:coreProperties>
</file>